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958E1" w:rsidRDefault="00CF4061">
      <w:pPr>
        <w:spacing w:line="600" w:lineRule="exact"/>
        <w:ind w:firstLineChars="0" w:firstLine="0"/>
        <w:jc w:val="center"/>
        <w:rPr>
          <w:rFonts w:ascii="方正小标宋简体" w:eastAsia="方正小标宋简体" w:hAnsi="宋体"/>
          <w:sz w:val="44"/>
          <w:szCs w:val="32"/>
        </w:rPr>
      </w:pPr>
      <w:r>
        <w:rPr>
          <w:rFonts w:ascii="方正小标宋简体" w:eastAsia="方正小标宋简体" w:hAnsi="宋体" w:hint="eastAsia"/>
          <w:sz w:val="44"/>
          <w:szCs w:val="32"/>
        </w:rPr>
        <w:t>团体标准《河流型水牛及其杂交后代育肥技术规程》（征求意见稿）编制说明</w:t>
      </w:r>
    </w:p>
    <w:p w:rsidR="009958E1" w:rsidRDefault="009958E1">
      <w:pPr>
        <w:spacing w:line="600" w:lineRule="exact"/>
        <w:jc w:val="center"/>
        <w:rPr>
          <w:rFonts w:ascii="方正小标宋简体" w:eastAsia="方正小标宋简体" w:hAnsi="宋体"/>
          <w:sz w:val="44"/>
          <w:szCs w:val="32"/>
        </w:rPr>
      </w:pPr>
    </w:p>
    <w:p w:rsidR="009958E1" w:rsidRDefault="00CF4061">
      <w:pPr>
        <w:autoSpaceDE w:val="0"/>
        <w:autoSpaceDN w:val="0"/>
        <w:adjustRightInd w:val="0"/>
        <w:spacing w:beforeLines="50" w:before="156" w:afterLines="50" w:after="156" w:line="560" w:lineRule="exact"/>
        <w:ind w:firstLine="640"/>
        <w:jc w:val="left"/>
        <w:rPr>
          <w:rFonts w:ascii="黑体" w:eastAsia="黑体" w:hAnsi="黑体" w:cs="仿宋_GB2312"/>
          <w:szCs w:val="32"/>
        </w:rPr>
      </w:pPr>
      <w:r>
        <w:rPr>
          <w:rFonts w:ascii="黑体" w:eastAsia="黑体" w:hAnsi="黑体" w:cs="仿宋_GB2312" w:hint="eastAsia"/>
          <w:szCs w:val="32"/>
        </w:rPr>
        <w:t>一、任务来源、起草单位、主要起草人</w:t>
      </w:r>
    </w:p>
    <w:p w:rsidR="009958E1" w:rsidRDefault="00CF4061">
      <w:pPr>
        <w:ind w:firstLine="640"/>
        <w:rPr>
          <w:rFonts w:ascii="仿宋_GB2312" w:hAnsi="宋体"/>
          <w:szCs w:val="28"/>
        </w:rPr>
      </w:pPr>
      <w:r>
        <w:rPr>
          <w:rFonts w:ascii="仿宋_GB2312" w:hAnsi="宋体" w:hint="eastAsia"/>
          <w:szCs w:val="28"/>
        </w:rPr>
        <w:t>根据《广西标准化协会关于下达</w:t>
      </w:r>
      <w:r>
        <w:rPr>
          <w:rFonts w:ascii="仿宋_GB2312" w:hAnsi="宋体" w:hint="eastAsia"/>
          <w:szCs w:val="28"/>
        </w:rPr>
        <w:t>2026</w:t>
      </w:r>
      <w:r>
        <w:rPr>
          <w:rFonts w:ascii="仿宋_GB2312" w:hAnsi="宋体" w:hint="eastAsia"/>
          <w:szCs w:val="28"/>
        </w:rPr>
        <w:t>年第三批团体标准制修订项目计划的通知》（桂标协〔</w:t>
      </w:r>
      <w:r>
        <w:rPr>
          <w:rFonts w:ascii="仿宋_GB2312" w:hAnsi="宋体" w:hint="eastAsia"/>
          <w:szCs w:val="28"/>
        </w:rPr>
        <w:t>2026</w:t>
      </w:r>
      <w:r>
        <w:rPr>
          <w:rFonts w:ascii="仿宋_GB2312" w:hAnsi="宋体" w:hint="eastAsia"/>
          <w:szCs w:val="28"/>
        </w:rPr>
        <w:t>〕</w:t>
      </w:r>
      <w:r>
        <w:rPr>
          <w:rFonts w:ascii="仿宋_GB2312" w:hAnsi="宋体" w:hint="eastAsia"/>
          <w:szCs w:val="28"/>
        </w:rPr>
        <w:t>44</w:t>
      </w:r>
      <w:r>
        <w:rPr>
          <w:rFonts w:ascii="仿宋_GB2312" w:hAnsi="宋体" w:hint="eastAsia"/>
          <w:szCs w:val="28"/>
        </w:rPr>
        <w:t>号）文件精神，由广西畜牧兽医学会提出，广西壮族自治区水牛研究所、广西农业工程职业技术学院、广西大学、灵山县农业农村局、广西壮族自治区畜禽品种改良站、灵山县畜牧技术服务站、广西灵山百菲奶水牛养殖有限公司、广西皇氏乳业有限公司、</w:t>
      </w:r>
      <w:r>
        <w:rPr>
          <w:rFonts w:hint="eastAsia"/>
          <w:color w:val="000000" w:themeColor="text1"/>
        </w:rPr>
        <w:t>中国农业科学院北京畜牧兽医研究所</w:t>
      </w:r>
      <w:r>
        <w:rPr>
          <w:rFonts w:ascii="仿宋_GB2312" w:hAnsi="宋体" w:hint="eastAsia"/>
          <w:szCs w:val="28"/>
        </w:rPr>
        <w:t>等单位共同起草的团体标准《河流型水牛及其杂交后代育肥技术规程》（项目编号：</w:t>
      </w:r>
      <w:r>
        <w:rPr>
          <w:rFonts w:ascii="仿宋_GB2312" w:hAnsi="宋体" w:hint="eastAsia"/>
          <w:szCs w:val="28"/>
        </w:rPr>
        <w:t>2026-0303</w:t>
      </w:r>
      <w:r>
        <w:rPr>
          <w:rFonts w:ascii="仿宋_GB2312" w:hAnsi="宋体" w:hint="eastAsia"/>
          <w:szCs w:val="28"/>
        </w:rPr>
        <w:t>），已获立项。</w:t>
      </w:r>
    </w:p>
    <w:p w:rsidR="009958E1" w:rsidRDefault="00CF4061">
      <w:pPr>
        <w:ind w:firstLine="640"/>
        <w:rPr>
          <w:rFonts w:ascii="仿宋_GB2312" w:hAnsi="宋体"/>
          <w:szCs w:val="28"/>
        </w:rPr>
      </w:pPr>
      <w:r>
        <w:rPr>
          <w:rFonts w:ascii="仿宋_GB2312" w:hAnsi="宋体" w:hint="eastAsia"/>
          <w:szCs w:val="28"/>
        </w:rPr>
        <w:t>为高质量编制团体标准《河流型水牛及其杂交后代育肥技术规程》，由起草单位成立标准编制工作组并进行如下分工：</w:t>
      </w:r>
    </w:p>
    <w:tbl>
      <w:tblPr>
        <w:tblW w:w="5000" w:type="pct"/>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ook w:val="04A0" w:firstRow="1" w:lastRow="0" w:firstColumn="1" w:lastColumn="0" w:noHBand="0" w:noVBand="1"/>
      </w:tblPr>
      <w:tblGrid>
        <w:gridCol w:w="1384"/>
        <w:gridCol w:w="1649"/>
        <w:gridCol w:w="1877"/>
        <w:gridCol w:w="4264"/>
      </w:tblGrid>
      <w:tr w:rsidR="009958E1">
        <w:trPr>
          <w:trHeight w:val="450"/>
        </w:trPr>
        <w:tc>
          <w:tcPr>
            <w:tcW w:w="754" w:type="pct"/>
            <w:tcBorders>
              <w:top w:val="single" w:sz="4" w:space="0" w:color="auto"/>
              <w:bottom w:val="single" w:sz="4" w:space="0" w:color="auto"/>
            </w:tcBorders>
            <w:vAlign w:val="center"/>
          </w:tcPr>
          <w:p w:rsidR="009958E1" w:rsidRDefault="00CF4061">
            <w:pPr>
              <w:ind w:firstLineChars="0" w:firstLine="0"/>
              <w:jc w:val="center"/>
              <w:rPr>
                <w:rFonts w:ascii="仿宋_GB2312" w:hAnsi="仿宋"/>
                <w:b/>
                <w:sz w:val="24"/>
              </w:rPr>
            </w:pPr>
            <w:r>
              <w:rPr>
                <w:rFonts w:ascii="仿宋_GB2312" w:hAnsi="仿宋" w:hint="eastAsia"/>
                <w:b/>
                <w:sz w:val="24"/>
              </w:rPr>
              <w:t>姓名</w:t>
            </w:r>
          </w:p>
        </w:tc>
        <w:tc>
          <w:tcPr>
            <w:tcW w:w="899" w:type="pct"/>
            <w:tcBorders>
              <w:top w:val="single" w:sz="4" w:space="0" w:color="auto"/>
              <w:bottom w:val="single" w:sz="4" w:space="0" w:color="auto"/>
            </w:tcBorders>
            <w:vAlign w:val="center"/>
          </w:tcPr>
          <w:p w:rsidR="009958E1" w:rsidRDefault="00CF4061">
            <w:pPr>
              <w:ind w:firstLineChars="0" w:firstLine="0"/>
              <w:jc w:val="center"/>
              <w:rPr>
                <w:rFonts w:ascii="仿宋_GB2312" w:hAnsi="仿宋"/>
                <w:b/>
                <w:sz w:val="24"/>
              </w:rPr>
            </w:pPr>
            <w:r>
              <w:rPr>
                <w:rFonts w:ascii="仿宋_GB2312" w:hAnsi="仿宋" w:hint="eastAsia"/>
                <w:b/>
                <w:sz w:val="24"/>
              </w:rPr>
              <w:t>职务</w:t>
            </w:r>
            <w:r>
              <w:rPr>
                <w:rFonts w:ascii="仿宋_GB2312" w:hAnsi="仿宋" w:hint="eastAsia"/>
                <w:b/>
                <w:sz w:val="24"/>
              </w:rPr>
              <w:t>/</w:t>
            </w:r>
            <w:r>
              <w:rPr>
                <w:rFonts w:ascii="仿宋_GB2312" w:hAnsi="仿宋" w:hint="eastAsia"/>
                <w:b/>
                <w:sz w:val="24"/>
              </w:rPr>
              <w:t>职称</w:t>
            </w:r>
          </w:p>
        </w:tc>
        <w:tc>
          <w:tcPr>
            <w:tcW w:w="1023" w:type="pct"/>
            <w:tcBorders>
              <w:top w:val="single" w:sz="4" w:space="0" w:color="auto"/>
              <w:bottom w:val="single" w:sz="4" w:space="0" w:color="auto"/>
            </w:tcBorders>
            <w:vAlign w:val="center"/>
          </w:tcPr>
          <w:p w:rsidR="009958E1" w:rsidRDefault="00CF4061">
            <w:pPr>
              <w:ind w:firstLineChars="0" w:firstLine="0"/>
              <w:jc w:val="center"/>
              <w:rPr>
                <w:rFonts w:ascii="仿宋_GB2312" w:hAnsi="仿宋"/>
                <w:b/>
                <w:sz w:val="24"/>
              </w:rPr>
            </w:pPr>
            <w:r>
              <w:rPr>
                <w:rFonts w:ascii="仿宋_GB2312" w:hAnsi="仿宋" w:hint="eastAsia"/>
                <w:b/>
                <w:sz w:val="24"/>
              </w:rPr>
              <w:t>工作单位</w:t>
            </w:r>
          </w:p>
        </w:tc>
        <w:tc>
          <w:tcPr>
            <w:tcW w:w="2324" w:type="pct"/>
            <w:tcBorders>
              <w:top w:val="single" w:sz="4" w:space="0" w:color="auto"/>
              <w:bottom w:val="single" w:sz="4" w:space="0" w:color="auto"/>
            </w:tcBorders>
            <w:vAlign w:val="center"/>
          </w:tcPr>
          <w:p w:rsidR="009958E1" w:rsidRDefault="00CF4061">
            <w:pPr>
              <w:ind w:firstLineChars="0" w:firstLine="0"/>
              <w:jc w:val="center"/>
              <w:rPr>
                <w:rFonts w:ascii="仿宋_GB2312" w:hAnsi="仿宋"/>
                <w:b/>
                <w:sz w:val="24"/>
              </w:rPr>
            </w:pPr>
            <w:r>
              <w:rPr>
                <w:rFonts w:ascii="仿宋_GB2312" w:hAnsi="仿宋" w:hint="eastAsia"/>
                <w:b/>
                <w:sz w:val="24"/>
              </w:rPr>
              <w:t>责任分工</w:t>
            </w:r>
          </w:p>
        </w:tc>
      </w:tr>
      <w:tr w:rsidR="009958E1">
        <w:trPr>
          <w:trHeight w:val="450"/>
        </w:trPr>
        <w:tc>
          <w:tcPr>
            <w:tcW w:w="754" w:type="pct"/>
            <w:tcBorders>
              <w:top w:val="single" w:sz="4" w:space="0" w:color="auto"/>
              <w:left w:val="single" w:sz="4" w:space="0" w:color="auto"/>
              <w:bottom w:val="single" w:sz="4" w:space="0" w:color="auto"/>
            </w:tcBorders>
            <w:vAlign w:val="center"/>
          </w:tcPr>
          <w:p w:rsidR="009958E1" w:rsidRDefault="00CF4061">
            <w:pPr>
              <w:ind w:firstLineChars="0" w:firstLine="0"/>
              <w:jc w:val="center"/>
              <w:rPr>
                <w:rFonts w:ascii="仿宋_GB2312" w:hAnsi="宋体" w:cs="Arial"/>
                <w:color w:val="000000"/>
                <w:sz w:val="24"/>
              </w:rPr>
            </w:pPr>
            <w:r>
              <w:rPr>
                <w:rStyle w:val="font21"/>
                <w:rFonts w:ascii="仿宋_GB2312" w:eastAsia="仿宋_GB2312" w:cs="Arial" w:hint="default"/>
                <w:sz w:val="24"/>
              </w:rPr>
              <w:t>覃广胜</w:t>
            </w:r>
          </w:p>
        </w:tc>
        <w:tc>
          <w:tcPr>
            <w:tcW w:w="899" w:type="pct"/>
            <w:tcBorders>
              <w:top w:val="single" w:sz="4" w:space="0" w:color="auto"/>
              <w:bottom w:val="single" w:sz="4" w:space="0" w:color="auto"/>
            </w:tcBorders>
            <w:vAlign w:val="center"/>
          </w:tcPr>
          <w:p w:rsidR="009958E1" w:rsidRDefault="00CF4061">
            <w:pPr>
              <w:ind w:firstLineChars="0" w:firstLine="0"/>
              <w:jc w:val="center"/>
              <w:rPr>
                <w:rFonts w:ascii="仿宋_GB2312" w:hAnsi="宋体" w:cs="Arial"/>
                <w:color w:val="000000"/>
                <w:sz w:val="24"/>
              </w:rPr>
            </w:pPr>
            <w:r>
              <w:rPr>
                <w:rStyle w:val="font21"/>
                <w:rFonts w:ascii="仿宋_GB2312" w:eastAsia="仿宋_GB2312" w:cs="Arial" w:hint="default"/>
                <w:sz w:val="24"/>
              </w:rPr>
              <w:t>副所长</w:t>
            </w:r>
            <w:r>
              <w:rPr>
                <w:rStyle w:val="font21"/>
                <w:rFonts w:ascii="仿宋_GB2312" w:eastAsia="仿宋_GB2312" w:cs="Arial" w:hint="default"/>
                <w:sz w:val="24"/>
              </w:rPr>
              <w:t>/</w:t>
            </w:r>
            <w:r>
              <w:rPr>
                <w:rStyle w:val="font21"/>
                <w:rFonts w:ascii="仿宋_GB2312" w:eastAsia="仿宋_GB2312" w:cs="Arial" w:hint="default"/>
                <w:sz w:val="24"/>
              </w:rPr>
              <w:t>研究员</w:t>
            </w:r>
          </w:p>
        </w:tc>
        <w:tc>
          <w:tcPr>
            <w:tcW w:w="1023" w:type="pct"/>
            <w:tcBorders>
              <w:top w:val="single" w:sz="4" w:space="0" w:color="auto"/>
              <w:bottom w:val="single" w:sz="4" w:space="0" w:color="auto"/>
            </w:tcBorders>
            <w:vAlign w:val="center"/>
          </w:tcPr>
          <w:p w:rsidR="009958E1" w:rsidRDefault="00CF4061">
            <w:pPr>
              <w:ind w:firstLineChars="0" w:firstLine="0"/>
              <w:jc w:val="center"/>
              <w:rPr>
                <w:rFonts w:ascii="仿宋_GB2312" w:hAnsi="宋体" w:cs="Arial"/>
                <w:color w:val="000000"/>
                <w:sz w:val="24"/>
              </w:rPr>
            </w:pPr>
            <w:r>
              <w:rPr>
                <w:rStyle w:val="font21"/>
                <w:rFonts w:ascii="仿宋_GB2312" w:eastAsia="仿宋_GB2312" w:cs="Arial" w:hint="default"/>
                <w:sz w:val="24"/>
              </w:rPr>
              <w:t>广西壮族自治区水牛研究所</w:t>
            </w:r>
          </w:p>
        </w:tc>
        <w:tc>
          <w:tcPr>
            <w:tcW w:w="2324" w:type="pct"/>
            <w:tcBorders>
              <w:top w:val="single" w:sz="4" w:space="0" w:color="auto"/>
              <w:bottom w:val="single" w:sz="4" w:space="0" w:color="auto"/>
              <w:right w:val="single" w:sz="4" w:space="0" w:color="auto"/>
            </w:tcBorders>
            <w:vAlign w:val="center"/>
          </w:tcPr>
          <w:p w:rsidR="009958E1" w:rsidRDefault="00CF4061">
            <w:pPr>
              <w:ind w:firstLineChars="0" w:firstLine="0"/>
              <w:rPr>
                <w:rFonts w:ascii="仿宋_GB2312" w:hAnsi="宋体" w:cs="Arial"/>
                <w:color w:val="000000"/>
                <w:sz w:val="24"/>
              </w:rPr>
            </w:pPr>
            <w:r>
              <w:rPr>
                <w:rStyle w:val="font21"/>
                <w:rFonts w:ascii="仿宋_GB2312" w:eastAsia="仿宋_GB2312" w:cs="Arial" w:hint="default"/>
                <w:sz w:val="24"/>
              </w:rPr>
              <w:t>统筹主持标准编制工作</w:t>
            </w:r>
          </w:p>
        </w:tc>
      </w:tr>
      <w:tr w:rsidR="009958E1">
        <w:trPr>
          <w:trHeight w:val="450"/>
        </w:trPr>
        <w:tc>
          <w:tcPr>
            <w:tcW w:w="754" w:type="pct"/>
            <w:tcBorders>
              <w:top w:val="single" w:sz="4" w:space="0" w:color="auto"/>
              <w:left w:val="single" w:sz="4" w:space="0" w:color="auto"/>
              <w:bottom w:val="single" w:sz="4" w:space="0" w:color="auto"/>
            </w:tcBorders>
            <w:vAlign w:val="center"/>
          </w:tcPr>
          <w:p w:rsidR="009958E1" w:rsidRDefault="00CF4061">
            <w:pPr>
              <w:ind w:firstLineChars="0" w:firstLine="0"/>
              <w:jc w:val="center"/>
              <w:rPr>
                <w:rFonts w:ascii="仿宋_GB2312" w:hAnsi="宋体" w:cs="Arial"/>
                <w:color w:val="000000"/>
                <w:sz w:val="24"/>
              </w:rPr>
            </w:pPr>
            <w:r>
              <w:rPr>
                <w:rStyle w:val="font21"/>
                <w:rFonts w:ascii="仿宋_GB2312" w:eastAsia="仿宋_GB2312" w:cs="Arial" w:hint="default"/>
                <w:sz w:val="24"/>
              </w:rPr>
              <w:t>杨凯琳</w:t>
            </w:r>
          </w:p>
        </w:tc>
        <w:tc>
          <w:tcPr>
            <w:tcW w:w="899" w:type="pct"/>
            <w:tcBorders>
              <w:top w:val="single" w:sz="4" w:space="0" w:color="auto"/>
              <w:bottom w:val="single" w:sz="4" w:space="0" w:color="auto"/>
            </w:tcBorders>
            <w:vAlign w:val="center"/>
          </w:tcPr>
          <w:p w:rsidR="009958E1" w:rsidRDefault="00CF4061">
            <w:pPr>
              <w:ind w:firstLineChars="0" w:firstLine="0"/>
              <w:jc w:val="center"/>
              <w:rPr>
                <w:rFonts w:ascii="仿宋_GB2312" w:hAnsi="宋体" w:cs="Arial"/>
                <w:color w:val="000000"/>
                <w:sz w:val="24"/>
              </w:rPr>
            </w:pPr>
            <w:r>
              <w:rPr>
                <w:rStyle w:val="font21"/>
                <w:rFonts w:ascii="仿宋_GB2312" w:eastAsia="仿宋_GB2312" w:cs="Arial" w:hint="default"/>
                <w:sz w:val="24"/>
              </w:rPr>
              <w:t>/</w:t>
            </w:r>
          </w:p>
        </w:tc>
        <w:tc>
          <w:tcPr>
            <w:tcW w:w="1023" w:type="pct"/>
            <w:tcBorders>
              <w:top w:val="single" w:sz="4" w:space="0" w:color="auto"/>
              <w:bottom w:val="single" w:sz="4" w:space="0" w:color="auto"/>
            </w:tcBorders>
            <w:vAlign w:val="center"/>
          </w:tcPr>
          <w:p w:rsidR="009958E1" w:rsidRDefault="00CF4061">
            <w:pPr>
              <w:ind w:firstLineChars="0" w:firstLine="0"/>
              <w:jc w:val="center"/>
              <w:rPr>
                <w:rFonts w:ascii="仿宋_GB2312" w:hAnsi="宋体" w:cs="Arial"/>
                <w:color w:val="000000"/>
                <w:sz w:val="24"/>
              </w:rPr>
            </w:pPr>
            <w:r>
              <w:rPr>
                <w:rStyle w:val="font21"/>
                <w:rFonts w:ascii="仿宋_GB2312" w:eastAsia="仿宋_GB2312" w:cs="Arial" w:hint="default"/>
                <w:sz w:val="24"/>
              </w:rPr>
              <w:t>广西壮族自治区水牛研究所</w:t>
            </w:r>
          </w:p>
        </w:tc>
        <w:tc>
          <w:tcPr>
            <w:tcW w:w="2324" w:type="pct"/>
            <w:tcBorders>
              <w:top w:val="single" w:sz="4" w:space="0" w:color="auto"/>
              <w:bottom w:val="single" w:sz="4" w:space="0" w:color="auto"/>
              <w:right w:val="single" w:sz="4" w:space="0" w:color="auto"/>
            </w:tcBorders>
            <w:vAlign w:val="center"/>
          </w:tcPr>
          <w:p w:rsidR="009958E1" w:rsidRDefault="00CF4061">
            <w:pPr>
              <w:ind w:firstLineChars="0" w:firstLine="0"/>
              <w:rPr>
                <w:rFonts w:ascii="仿宋_GB2312" w:hAnsi="宋体" w:cs="Arial"/>
                <w:color w:val="000000"/>
                <w:sz w:val="24"/>
              </w:rPr>
            </w:pPr>
            <w:r>
              <w:rPr>
                <w:rStyle w:val="font21"/>
                <w:rFonts w:ascii="仿宋_GB2312" w:eastAsia="仿宋_GB2312" w:cs="Arial" w:hint="default"/>
                <w:sz w:val="24"/>
              </w:rPr>
              <w:t>参与标准编制工作，组织人员进行标准发布后的宣贯培训。</w:t>
            </w:r>
          </w:p>
        </w:tc>
      </w:tr>
      <w:tr w:rsidR="009958E1">
        <w:trPr>
          <w:trHeight w:val="450"/>
        </w:trPr>
        <w:tc>
          <w:tcPr>
            <w:tcW w:w="754" w:type="pct"/>
            <w:tcBorders>
              <w:top w:val="single" w:sz="4" w:space="0" w:color="auto"/>
              <w:left w:val="single" w:sz="4" w:space="0" w:color="auto"/>
              <w:bottom w:val="single" w:sz="4" w:space="0" w:color="auto"/>
            </w:tcBorders>
            <w:vAlign w:val="center"/>
          </w:tcPr>
          <w:p w:rsidR="009958E1" w:rsidRDefault="00CF4061">
            <w:pPr>
              <w:ind w:firstLineChars="0" w:firstLine="0"/>
              <w:jc w:val="center"/>
              <w:rPr>
                <w:rFonts w:ascii="仿宋_GB2312" w:hAnsi="宋体" w:cs="Arial"/>
                <w:color w:val="000000"/>
                <w:sz w:val="24"/>
              </w:rPr>
            </w:pPr>
            <w:r>
              <w:rPr>
                <w:rStyle w:val="font21"/>
                <w:rFonts w:ascii="仿宋_GB2312" w:eastAsia="仿宋_GB2312" w:cs="Arial" w:hint="default"/>
                <w:sz w:val="24"/>
              </w:rPr>
              <w:t>李</w:t>
            </w:r>
            <w:r>
              <w:rPr>
                <w:rStyle w:val="font21"/>
                <w:rFonts w:ascii="仿宋_GB2312" w:eastAsia="仿宋_GB2312" w:cs="Arial" w:hint="default"/>
                <w:sz w:val="24"/>
              </w:rPr>
              <w:t xml:space="preserve"> </w:t>
            </w:r>
            <w:r>
              <w:rPr>
                <w:rStyle w:val="font21"/>
                <w:rFonts w:ascii="仿宋_GB2312" w:eastAsia="仿宋_GB2312" w:cs="Arial" w:hint="default"/>
                <w:sz w:val="24"/>
              </w:rPr>
              <w:t>显</w:t>
            </w:r>
          </w:p>
        </w:tc>
        <w:tc>
          <w:tcPr>
            <w:tcW w:w="899" w:type="pct"/>
            <w:tcBorders>
              <w:top w:val="single" w:sz="4" w:space="0" w:color="auto"/>
              <w:bottom w:val="single" w:sz="4" w:space="0" w:color="auto"/>
            </w:tcBorders>
            <w:vAlign w:val="center"/>
          </w:tcPr>
          <w:p w:rsidR="009958E1" w:rsidRDefault="00CF4061">
            <w:pPr>
              <w:ind w:firstLineChars="0" w:firstLine="0"/>
              <w:jc w:val="center"/>
              <w:rPr>
                <w:rFonts w:ascii="仿宋_GB2312" w:hAnsi="宋体" w:cs="Arial"/>
                <w:color w:val="000000"/>
                <w:sz w:val="24"/>
              </w:rPr>
            </w:pPr>
            <w:r>
              <w:rPr>
                <w:rStyle w:val="font21"/>
                <w:rFonts w:ascii="仿宋_GB2312" w:eastAsia="仿宋_GB2312" w:cs="Arial" w:hint="default"/>
                <w:sz w:val="24"/>
              </w:rPr>
              <w:t>正高级实</w:t>
            </w:r>
            <w:r>
              <w:rPr>
                <w:rFonts w:ascii="仿宋_GB2312" w:cs="Arial" w:hint="eastAsia"/>
                <w:color w:val="000000"/>
                <w:sz w:val="24"/>
              </w:rPr>
              <w:br/>
            </w:r>
            <w:r>
              <w:rPr>
                <w:rStyle w:val="font21"/>
                <w:rFonts w:ascii="仿宋_GB2312" w:eastAsia="仿宋_GB2312" w:cs="Arial" w:hint="default"/>
                <w:sz w:val="24"/>
              </w:rPr>
              <w:t>验师</w:t>
            </w:r>
          </w:p>
        </w:tc>
        <w:tc>
          <w:tcPr>
            <w:tcW w:w="1023" w:type="pct"/>
            <w:tcBorders>
              <w:top w:val="single" w:sz="4" w:space="0" w:color="auto"/>
              <w:bottom w:val="single" w:sz="4" w:space="0" w:color="auto"/>
            </w:tcBorders>
          </w:tcPr>
          <w:p w:rsidR="009958E1" w:rsidRDefault="00CF4061">
            <w:pPr>
              <w:ind w:firstLineChars="0" w:firstLine="0"/>
              <w:jc w:val="center"/>
              <w:rPr>
                <w:rFonts w:ascii="仿宋_GB2312" w:hAnsi="宋体" w:cs="Arial"/>
                <w:color w:val="000000"/>
                <w:sz w:val="24"/>
              </w:rPr>
            </w:pPr>
            <w:r>
              <w:rPr>
                <w:rStyle w:val="font21"/>
                <w:rFonts w:ascii="仿宋_GB2312" w:eastAsia="仿宋_GB2312" w:cs="Arial" w:hint="default"/>
                <w:sz w:val="24"/>
              </w:rPr>
              <w:t>广西农业工程职业技术学院</w:t>
            </w:r>
          </w:p>
        </w:tc>
        <w:tc>
          <w:tcPr>
            <w:tcW w:w="2324" w:type="pct"/>
            <w:tcBorders>
              <w:top w:val="single" w:sz="4" w:space="0" w:color="auto"/>
              <w:bottom w:val="single" w:sz="4" w:space="0" w:color="auto"/>
              <w:right w:val="single" w:sz="4" w:space="0" w:color="auto"/>
            </w:tcBorders>
            <w:vAlign w:val="center"/>
          </w:tcPr>
          <w:p w:rsidR="009958E1" w:rsidRDefault="00CF4061">
            <w:pPr>
              <w:ind w:firstLineChars="0" w:firstLine="0"/>
              <w:rPr>
                <w:rFonts w:ascii="仿宋_GB2312" w:hAnsi="宋体" w:cs="Arial"/>
                <w:color w:val="000000"/>
                <w:sz w:val="24"/>
              </w:rPr>
            </w:pPr>
            <w:r>
              <w:rPr>
                <w:rStyle w:val="font21"/>
                <w:rFonts w:ascii="仿宋_GB2312" w:eastAsia="仿宋_GB2312" w:cs="Arial" w:hint="default"/>
                <w:sz w:val="24"/>
              </w:rPr>
              <w:t>参与标准编制工作，组织人员进行标准发布后的宣贯培训。</w:t>
            </w:r>
          </w:p>
        </w:tc>
      </w:tr>
      <w:tr w:rsidR="009958E1">
        <w:trPr>
          <w:trHeight w:val="450"/>
        </w:trPr>
        <w:tc>
          <w:tcPr>
            <w:tcW w:w="754" w:type="pct"/>
            <w:tcBorders>
              <w:top w:val="single" w:sz="4" w:space="0" w:color="auto"/>
              <w:left w:val="single" w:sz="4" w:space="0" w:color="auto"/>
              <w:bottom w:val="single" w:sz="4" w:space="0" w:color="auto"/>
            </w:tcBorders>
            <w:vAlign w:val="center"/>
          </w:tcPr>
          <w:p w:rsidR="009958E1" w:rsidRDefault="00CF4061">
            <w:pPr>
              <w:ind w:firstLineChars="0" w:firstLine="0"/>
              <w:jc w:val="center"/>
              <w:rPr>
                <w:rFonts w:ascii="仿宋_GB2312" w:hAnsi="宋体" w:cs="Arial"/>
                <w:color w:val="000000"/>
                <w:sz w:val="24"/>
              </w:rPr>
            </w:pPr>
            <w:r>
              <w:rPr>
                <w:rStyle w:val="font21"/>
                <w:rFonts w:ascii="仿宋_GB2312" w:eastAsia="仿宋_GB2312" w:cs="Arial" w:hint="default"/>
                <w:sz w:val="24"/>
              </w:rPr>
              <w:t>邹彩霞</w:t>
            </w:r>
          </w:p>
        </w:tc>
        <w:tc>
          <w:tcPr>
            <w:tcW w:w="899" w:type="pct"/>
            <w:tcBorders>
              <w:top w:val="single" w:sz="4" w:space="0" w:color="auto"/>
              <w:bottom w:val="single" w:sz="4" w:space="0" w:color="auto"/>
            </w:tcBorders>
            <w:vAlign w:val="center"/>
          </w:tcPr>
          <w:p w:rsidR="009958E1" w:rsidRDefault="00CF4061">
            <w:pPr>
              <w:ind w:firstLineChars="0" w:firstLine="0"/>
              <w:jc w:val="center"/>
              <w:rPr>
                <w:rFonts w:ascii="仿宋_GB2312" w:hAnsi="宋体" w:cs="Arial"/>
                <w:color w:val="000000"/>
                <w:sz w:val="24"/>
              </w:rPr>
            </w:pPr>
            <w:r>
              <w:rPr>
                <w:rStyle w:val="font21"/>
                <w:rFonts w:ascii="仿宋_GB2312" w:eastAsia="仿宋_GB2312" w:cs="Arial" w:hint="default"/>
                <w:sz w:val="24"/>
              </w:rPr>
              <w:t>研究员</w:t>
            </w:r>
          </w:p>
        </w:tc>
        <w:tc>
          <w:tcPr>
            <w:tcW w:w="1023" w:type="pct"/>
            <w:tcBorders>
              <w:top w:val="single" w:sz="4" w:space="0" w:color="auto"/>
              <w:bottom w:val="single" w:sz="4" w:space="0" w:color="auto"/>
            </w:tcBorders>
            <w:vAlign w:val="center"/>
          </w:tcPr>
          <w:p w:rsidR="009958E1" w:rsidRDefault="00CF4061">
            <w:pPr>
              <w:ind w:firstLineChars="0" w:firstLine="0"/>
              <w:jc w:val="center"/>
              <w:rPr>
                <w:rFonts w:ascii="仿宋_GB2312" w:hAnsi="宋体" w:cs="Arial"/>
                <w:color w:val="000000"/>
                <w:sz w:val="24"/>
              </w:rPr>
            </w:pPr>
            <w:r>
              <w:rPr>
                <w:rStyle w:val="font21"/>
                <w:rFonts w:ascii="仿宋_GB2312" w:eastAsia="仿宋_GB2312" w:cs="Arial" w:hint="default"/>
                <w:sz w:val="24"/>
              </w:rPr>
              <w:t>广西大学</w:t>
            </w:r>
          </w:p>
        </w:tc>
        <w:tc>
          <w:tcPr>
            <w:tcW w:w="2324" w:type="pct"/>
            <w:tcBorders>
              <w:top w:val="single" w:sz="4" w:space="0" w:color="auto"/>
              <w:bottom w:val="single" w:sz="4" w:space="0" w:color="auto"/>
              <w:right w:val="single" w:sz="4" w:space="0" w:color="auto"/>
            </w:tcBorders>
            <w:vAlign w:val="center"/>
          </w:tcPr>
          <w:p w:rsidR="009958E1" w:rsidRDefault="00CF4061">
            <w:pPr>
              <w:ind w:firstLineChars="0" w:firstLine="0"/>
              <w:rPr>
                <w:rFonts w:ascii="仿宋_GB2312" w:hAnsi="宋体" w:cs="Arial"/>
                <w:color w:val="000000"/>
                <w:sz w:val="24"/>
              </w:rPr>
            </w:pPr>
            <w:r>
              <w:rPr>
                <w:rStyle w:val="font21"/>
                <w:rFonts w:ascii="仿宋_GB2312" w:eastAsia="仿宋_GB2312" w:cs="Arial" w:hint="default"/>
                <w:sz w:val="24"/>
              </w:rPr>
              <w:t>参与标准文本及编制说明编写，质量控制。</w:t>
            </w:r>
          </w:p>
        </w:tc>
      </w:tr>
      <w:tr w:rsidR="009958E1">
        <w:trPr>
          <w:trHeight w:val="450"/>
        </w:trPr>
        <w:tc>
          <w:tcPr>
            <w:tcW w:w="754" w:type="pct"/>
            <w:tcBorders>
              <w:top w:val="single" w:sz="4" w:space="0" w:color="auto"/>
              <w:left w:val="single" w:sz="4" w:space="0" w:color="auto"/>
              <w:bottom w:val="single" w:sz="4" w:space="0" w:color="auto"/>
            </w:tcBorders>
            <w:vAlign w:val="center"/>
          </w:tcPr>
          <w:p w:rsidR="009958E1" w:rsidRDefault="00CF4061">
            <w:pPr>
              <w:ind w:firstLineChars="0" w:firstLine="0"/>
              <w:jc w:val="center"/>
              <w:rPr>
                <w:rFonts w:ascii="仿宋_GB2312" w:hAnsi="宋体" w:cs="Arial"/>
                <w:color w:val="000000"/>
                <w:sz w:val="24"/>
              </w:rPr>
            </w:pPr>
            <w:r>
              <w:rPr>
                <w:rStyle w:val="font21"/>
                <w:rFonts w:ascii="仿宋_GB2312" w:eastAsia="仿宋_GB2312" w:cs="Arial" w:hint="default"/>
                <w:sz w:val="24"/>
              </w:rPr>
              <w:t>黄荣春</w:t>
            </w:r>
          </w:p>
        </w:tc>
        <w:tc>
          <w:tcPr>
            <w:tcW w:w="899" w:type="pct"/>
            <w:tcBorders>
              <w:top w:val="single" w:sz="4" w:space="0" w:color="auto"/>
              <w:bottom w:val="single" w:sz="4" w:space="0" w:color="auto"/>
            </w:tcBorders>
            <w:vAlign w:val="center"/>
          </w:tcPr>
          <w:p w:rsidR="009958E1" w:rsidRDefault="00CF4061">
            <w:pPr>
              <w:ind w:firstLineChars="0" w:firstLine="0"/>
              <w:jc w:val="center"/>
              <w:rPr>
                <w:rFonts w:ascii="仿宋_GB2312" w:hAnsi="宋体" w:cs="Arial"/>
                <w:color w:val="000000"/>
                <w:sz w:val="24"/>
              </w:rPr>
            </w:pPr>
            <w:r>
              <w:rPr>
                <w:rStyle w:val="font21"/>
                <w:rFonts w:ascii="仿宋_GB2312" w:eastAsia="仿宋_GB2312" w:cs="Arial" w:hint="default"/>
                <w:sz w:val="24"/>
              </w:rPr>
              <w:t>高级畜牧师</w:t>
            </w:r>
          </w:p>
        </w:tc>
        <w:tc>
          <w:tcPr>
            <w:tcW w:w="1023" w:type="pct"/>
            <w:tcBorders>
              <w:top w:val="single" w:sz="4" w:space="0" w:color="auto"/>
              <w:bottom w:val="single" w:sz="4" w:space="0" w:color="auto"/>
            </w:tcBorders>
            <w:vAlign w:val="center"/>
          </w:tcPr>
          <w:p w:rsidR="009958E1" w:rsidRDefault="00CF4061">
            <w:pPr>
              <w:ind w:firstLineChars="0" w:firstLine="0"/>
              <w:jc w:val="center"/>
              <w:rPr>
                <w:rFonts w:ascii="仿宋_GB2312" w:hAnsi="宋体" w:cs="Arial"/>
                <w:color w:val="000000"/>
                <w:sz w:val="24"/>
              </w:rPr>
            </w:pPr>
            <w:r>
              <w:rPr>
                <w:rStyle w:val="font21"/>
                <w:rFonts w:ascii="仿宋_GB2312" w:eastAsia="仿宋_GB2312" w:cs="Arial" w:hint="default"/>
                <w:sz w:val="24"/>
              </w:rPr>
              <w:t>广西壮族自治区水牛研究所</w:t>
            </w:r>
          </w:p>
        </w:tc>
        <w:tc>
          <w:tcPr>
            <w:tcW w:w="2324" w:type="pct"/>
            <w:tcBorders>
              <w:top w:val="single" w:sz="4" w:space="0" w:color="auto"/>
              <w:bottom w:val="single" w:sz="4" w:space="0" w:color="auto"/>
              <w:right w:val="single" w:sz="4" w:space="0" w:color="auto"/>
            </w:tcBorders>
            <w:vAlign w:val="center"/>
          </w:tcPr>
          <w:p w:rsidR="009958E1" w:rsidRDefault="00CF4061">
            <w:pPr>
              <w:ind w:firstLineChars="0" w:firstLine="0"/>
              <w:rPr>
                <w:rFonts w:ascii="仿宋_GB2312" w:hAnsi="宋体" w:cs="Arial"/>
                <w:color w:val="000000"/>
                <w:sz w:val="24"/>
              </w:rPr>
            </w:pPr>
            <w:r>
              <w:rPr>
                <w:rStyle w:val="font21"/>
                <w:rFonts w:ascii="仿宋_GB2312" w:eastAsia="仿宋_GB2312" w:cs="Arial" w:hint="default"/>
                <w:sz w:val="24"/>
              </w:rPr>
              <w:t>参与标准文本及编制说明编写，质量控制。</w:t>
            </w:r>
          </w:p>
        </w:tc>
      </w:tr>
      <w:tr w:rsidR="009958E1">
        <w:trPr>
          <w:trHeight w:val="450"/>
        </w:trPr>
        <w:tc>
          <w:tcPr>
            <w:tcW w:w="754" w:type="pct"/>
            <w:tcBorders>
              <w:top w:val="single" w:sz="4" w:space="0" w:color="auto"/>
              <w:left w:val="single" w:sz="4" w:space="0" w:color="auto"/>
              <w:bottom w:val="single" w:sz="4" w:space="0" w:color="auto"/>
            </w:tcBorders>
            <w:vAlign w:val="center"/>
          </w:tcPr>
          <w:p w:rsidR="009958E1" w:rsidRDefault="00CF4061">
            <w:pPr>
              <w:ind w:firstLineChars="0" w:firstLine="0"/>
              <w:jc w:val="center"/>
              <w:rPr>
                <w:rFonts w:ascii="仿宋_GB2312" w:hAnsi="宋体" w:cs="Arial"/>
                <w:color w:val="000000"/>
                <w:sz w:val="24"/>
              </w:rPr>
            </w:pPr>
            <w:r>
              <w:rPr>
                <w:rStyle w:val="font21"/>
                <w:rFonts w:ascii="仿宋_GB2312" w:eastAsia="仿宋_GB2312" w:cs="Arial" w:hint="default"/>
                <w:sz w:val="24"/>
              </w:rPr>
              <w:t>谭正准</w:t>
            </w:r>
          </w:p>
        </w:tc>
        <w:tc>
          <w:tcPr>
            <w:tcW w:w="899" w:type="pct"/>
            <w:tcBorders>
              <w:top w:val="single" w:sz="4" w:space="0" w:color="auto"/>
              <w:bottom w:val="single" w:sz="4" w:space="0" w:color="auto"/>
            </w:tcBorders>
            <w:vAlign w:val="center"/>
          </w:tcPr>
          <w:p w:rsidR="009958E1" w:rsidRDefault="00CF4061">
            <w:pPr>
              <w:ind w:firstLineChars="0" w:firstLine="0"/>
              <w:jc w:val="center"/>
              <w:rPr>
                <w:rFonts w:ascii="仿宋_GB2312" w:hAnsi="宋体" w:cs="Arial"/>
                <w:color w:val="000000"/>
                <w:sz w:val="24"/>
              </w:rPr>
            </w:pPr>
            <w:r>
              <w:rPr>
                <w:rStyle w:val="font21"/>
                <w:rFonts w:ascii="仿宋_GB2312" w:eastAsia="仿宋_GB2312" w:cs="Arial" w:hint="default"/>
                <w:sz w:val="24"/>
              </w:rPr>
              <w:t>畜牧师</w:t>
            </w:r>
          </w:p>
        </w:tc>
        <w:tc>
          <w:tcPr>
            <w:tcW w:w="1023" w:type="pct"/>
            <w:tcBorders>
              <w:top w:val="single" w:sz="4" w:space="0" w:color="auto"/>
              <w:bottom w:val="single" w:sz="4" w:space="0" w:color="auto"/>
            </w:tcBorders>
            <w:vAlign w:val="center"/>
          </w:tcPr>
          <w:p w:rsidR="009958E1" w:rsidRDefault="00CF4061">
            <w:pPr>
              <w:ind w:firstLineChars="0" w:firstLine="0"/>
              <w:jc w:val="center"/>
              <w:rPr>
                <w:rFonts w:ascii="仿宋_GB2312" w:hAnsi="宋体" w:cs="Arial"/>
                <w:color w:val="000000"/>
                <w:sz w:val="24"/>
              </w:rPr>
            </w:pPr>
            <w:r>
              <w:rPr>
                <w:rStyle w:val="font21"/>
                <w:rFonts w:ascii="仿宋_GB2312" w:eastAsia="仿宋_GB2312" w:cs="Arial" w:hint="default"/>
                <w:sz w:val="24"/>
              </w:rPr>
              <w:t>广西壮族自治区水牛研究所</w:t>
            </w:r>
          </w:p>
        </w:tc>
        <w:tc>
          <w:tcPr>
            <w:tcW w:w="2324" w:type="pct"/>
            <w:tcBorders>
              <w:top w:val="single" w:sz="4" w:space="0" w:color="auto"/>
              <w:bottom w:val="single" w:sz="4" w:space="0" w:color="auto"/>
              <w:right w:val="single" w:sz="4" w:space="0" w:color="auto"/>
            </w:tcBorders>
            <w:vAlign w:val="center"/>
          </w:tcPr>
          <w:p w:rsidR="009958E1" w:rsidRDefault="00CF4061">
            <w:pPr>
              <w:ind w:firstLineChars="0" w:firstLine="0"/>
              <w:rPr>
                <w:rFonts w:ascii="仿宋_GB2312" w:hAnsi="宋体" w:cs="Arial"/>
                <w:color w:val="000000"/>
                <w:sz w:val="24"/>
              </w:rPr>
            </w:pPr>
            <w:r>
              <w:rPr>
                <w:rStyle w:val="font21"/>
                <w:rFonts w:ascii="仿宋_GB2312" w:eastAsia="仿宋_GB2312" w:cs="Arial" w:hint="default"/>
                <w:sz w:val="24"/>
              </w:rPr>
              <w:t>组织开展标准征求意见会；对标准实施情况进行总结分析，不断对团体标准提出修正意见。</w:t>
            </w:r>
          </w:p>
        </w:tc>
      </w:tr>
      <w:tr w:rsidR="009958E1">
        <w:trPr>
          <w:trHeight w:val="450"/>
        </w:trPr>
        <w:tc>
          <w:tcPr>
            <w:tcW w:w="754" w:type="pct"/>
            <w:tcBorders>
              <w:top w:val="single" w:sz="4" w:space="0" w:color="auto"/>
              <w:left w:val="single" w:sz="4" w:space="0" w:color="auto"/>
              <w:bottom w:val="single" w:sz="4" w:space="0" w:color="auto"/>
            </w:tcBorders>
            <w:vAlign w:val="center"/>
          </w:tcPr>
          <w:p w:rsidR="009958E1" w:rsidRDefault="00CF4061">
            <w:pPr>
              <w:ind w:firstLineChars="0" w:firstLine="0"/>
              <w:jc w:val="center"/>
              <w:rPr>
                <w:rFonts w:ascii="仿宋_GB2312" w:hAnsi="宋体" w:cs="Arial"/>
                <w:color w:val="000000"/>
                <w:sz w:val="24"/>
              </w:rPr>
            </w:pPr>
            <w:r>
              <w:rPr>
                <w:rStyle w:val="font21"/>
                <w:rFonts w:ascii="仿宋_GB2312" w:eastAsia="仿宋_GB2312" w:cs="Arial" w:hint="default"/>
                <w:sz w:val="24"/>
              </w:rPr>
              <w:lastRenderedPageBreak/>
              <w:t>刘贵贤</w:t>
            </w:r>
          </w:p>
        </w:tc>
        <w:tc>
          <w:tcPr>
            <w:tcW w:w="899" w:type="pct"/>
            <w:tcBorders>
              <w:top w:val="single" w:sz="4" w:space="0" w:color="auto"/>
              <w:bottom w:val="single" w:sz="4" w:space="0" w:color="auto"/>
            </w:tcBorders>
            <w:vAlign w:val="center"/>
          </w:tcPr>
          <w:p w:rsidR="009958E1" w:rsidRDefault="00CF4061">
            <w:pPr>
              <w:ind w:firstLineChars="0" w:firstLine="0"/>
              <w:jc w:val="center"/>
              <w:rPr>
                <w:rFonts w:ascii="仿宋_GB2312" w:hAnsi="宋体" w:cs="Arial"/>
                <w:color w:val="000000"/>
                <w:sz w:val="24"/>
              </w:rPr>
            </w:pPr>
            <w:r>
              <w:rPr>
                <w:rStyle w:val="font21"/>
                <w:rFonts w:ascii="仿宋_GB2312" w:eastAsia="仿宋_GB2312" w:cs="Arial" w:hint="default"/>
                <w:sz w:val="24"/>
              </w:rPr>
              <w:t>助理畜牧师</w:t>
            </w:r>
          </w:p>
        </w:tc>
        <w:tc>
          <w:tcPr>
            <w:tcW w:w="1023" w:type="pct"/>
            <w:tcBorders>
              <w:top w:val="single" w:sz="4" w:space="0" w:color="auto"/>
              <w:bottom w:val="single" w:sz="4" w:space="0" w:color="auto"/>
            </w:tcBorders>
            <w:vAlign w:val="center"/>
          </w:tcPr>
          <w:p w:rsidR="009958E1" w:rsidRDefault="00CF4061">
            <w:pPr>
              <w:ind w:firstLineChars="0" w:firstLine="0"/>
              <w:jc w:val="center"/>
              <w:rPr>
                <w:rFonts w:ascii="仿宋_GB2312" w:hAnsi="宋体" w:cs="Arial"/>
                <w:color w:val="000000"/>
                <w:sz w:val="24"/>
              </w:rPr>
            </w:pPr>
            <w:r>
              <w:rPr>
                <w:rStyle w:val="font21"/>
                <w:rFonts w:ascii="仿宋_GB2312" w:eastAsia="仿宋_GB2312" w:cs="Arial" w:hint="default"/>
                <w:sz w:val="24"/>
              </w:rPr>
              <w:t>广西壮族自治区水牛研究所</w:t>
            </w:r>
          </w:p>
        </w:tc>
        <w:tc>
          <w:tcPr>
            <w:tcW w:w="2324" w:type="pct"/>
            <w:tcBorders>
              <w:top w:val="single" w:sz="4" w:space="0" w:color="auto"/>
              <w:bottom w:val="single" w:sz="4" w:space="0" w:color="auto"/>
              <w:right w:val="single" w:sz="4" w:space="0" w:color="auto"/>
            </w:tcBorders>
            <w:vAlign w:val="center"/>
          </w:tcPr>
          <w:p w:rsidR="009958E1" w:rsidRDefault="00CF4061">
            <w:pPr>
              <w:ind w:firstLineChars="0" w:firstLine="0"/>
              <w:rPr>
                <w:rFonts w:ascii="仿宋_GB2312" w:hAnsi="宋体" w:cs="Arial"/>
                <w:color w:val="000000"/>
                <w:sz w:val="24"/>
              </w:rPr>
            </w:pPr>
            <w:r>
              <w:rPr>
                <w:rStyle w:val="font21"/>
                <w:rFonts w:ascii="仿宋_GB2312" w:eastAsia="仿宋_GB2312" w:cs="Arial" w:hint="default"/>
                <w:sz w:val="24"/>
              </w:rPr>
              <w:t>组织开展标准征求意见会；对标准实施情况进行总结分析，不断对团体标准提出修正意见。</w:t>
            </w:r>
          </w:p>
        </w:tc>
      </w:tr>
      <w:tr w:rsidR="009958E1">
        <w:trPr>
          <w:trHeight w:val="450"/>
        </w:trPr>
        <w:tc>
          <w:tcPr>
            <w:tcW w:w="754" w:type="pct"/>
            <w:tcBorders>
              <w:top w:val="single" w:sz="4" w:space="0" w:color="auto"/>
              <w:left w:val="single" w:sz="4" w:space="0" w:color="auto"/>
              <w:bottom w:val="single" w:sz="4" w:space="0" w:color="auto"/>
            </w:tcBorders>
            <w:vAlign w:val="center"/>
          </w:tcPr>
          <w:p w:rsidR="009958E1" w:rsidRDefault="00CF4061">
            <w:pPr>
              <w:ind w:firstLineChars="0" w:firstLine="0"/>
              <w:jc w:val="center"/>
              <w:rPr>
                <w:rFonts w:ascii="仿宋_GB2312" w:hAnsi="宋体" w:cs="Arial"/>
                <w:color w:val="000000"/>
                <w:sz w:val="24"/>
              </w:rPr>
            </w:pPr>
            <w:r>
              <w:rPr>
                <w:rStyle w:val="font21"/>
                <w:rFonts w:ascii="仿宋_GB2312" w:eastAsia="仿宋_GB2312" w:cs="Arial" w:hint="default"/>
                <w:sz w:val="24"/>
              </w:rPr>
              <w:t>黄</w:t>
            </w:r>
            <w:r>
              <w:rPr>
                <w:rStyle w:val="font21"/>
                <w:rFonts w:ascii="仿宋_GB2312" w:eastAsia="仿宋_GB2312" w:cs="Arial" w:hint="default"/>
                <w:sz w:val="24"/>
              </w:rPr>
              <w:t xml:space="preserve"> </w:t>
            </w:r>
            <w:r>
              <w:rPr>
                <w:rStyle w:val="font21"/>
                <w:rFonts w:ascii="仿宋_GB2312" w:eastAsia="仿宋_GB2312" w:cs="Arial" w:hint="default"/>
                <w:sz w:val="24"/>
              </w:rPr>
              <w:t>健</w:t>
            </w:r>
          </w:p>
        </w:tc>
        <w:tc>
          <w:tcPr>
            <w:tcW w:w="899" w:type="pct"/>
            <w:tcBorders>
              <w:top w:val="single" w:sz="4" w:space="0" w:color="auto"/>
              <w:bottom w:val="single" w:sz="4" w:space="0" w:color="auto"/>
            </w:tcBorders>
            <w:vAlign w:val="center"/>
          </w:tcPr>
          <w:p w:rsidR="009958E1" w:rsidRDefault="00CF4061">
            <w:pPr>
              <w:ind w:firstLineChars="0" w:firstLine="0"/>
              <w:jc w:val="center"/>
              <w:rPr>
                <w:rFonts w:ascii="仿宋_GB2312" w:hAnsi="宋体" w:cs="Arial"/>
                <w:color w:val="000000"/>
                <w:sz w:val="24"/>
              </w:rPr>
            </w:pPr>
            <w:r>
              <w:rPr>
                <w:rStyle w:val="font21"/>
                <w:rFonts w:ascii="仿宋_GB2312" w:eastAsia="仿宋_GB2312" w:cs="Arial" w:hint="default"/>
                <w:sz w:val="24"/>
              </w:rPr>
              <w:t>高级畜牧师</w:t>
            </w:r>
          </w:p>
        </w:tc>
        <w:tc>
          <w:tcPr>
            <w:tcW w:w="1023" w:type="pct"/>
            <w:tcBorders>
              <w:top w:val="single" w:sz="4" w:space="0" w:color="auto"/>
              <w:bottom w:val="single" w:sz="4" w:space="0" w:color="auto"/>
            </w:tcBorders>
            <w:vAlign w:val="center"/>
          </w:tcPr>
          <w:p w:rsidR="009958E1" w:rsidRDefault="00CF4061">
            <w:pPr>
              <w:ind w:firstLineChars="0" w:firstLine="0"/>
              <w:jc w:val="center"/>
              <w:rPr>
                <w:rFonts w:ascii="仿宋_GB2312" w:hAnsi="宋体" w:cs="Arial"/>
                <w:color w:val="000000"/>
                <w:sz w:val="24"/>
              </w:rPr>
            </w:pPr>
            <w:r>
              <w:rPr>
                <w:rStyle w:val="font21"/>
                <w:rFonts w:ascii="仿宋_GB2312" w:eastAsia="仿宋_GB2312" w:cs="Arial" w:hint="default"/>
                <w:sz w:val="24"/>
              </w:rPr>
              <w:t>广西壮族自治区水牛研究所</w:t>
            </w:r>
          </w:p>
        </w:tc>
        <w:tc>
          <w:tcPr>
            <w:tcW w:w="2324" w:type="pct"/>
            <w:tcBorders>
              <w:top w:val="single" w:sz="4" w:space="0" w:color="auto"/>
              <w:bottom w:val="single" w:sz="4" w:space="0" w:color="auto"/>
              <w:right w:val="single" w:sz="4" w:space="0" w:color="auto"/>
            </w:tcBorders>
            <w:vAlign w:val="center"/>
          </w:tcPr>
          <w:p w:rsidR="009958E1" w:rsidRDefault="00CF4061">
            <w:pPr>
              <w:ind w:firstLineChars="0" w:firstLine="0"/>
              <w:rPr>
                <w:rFonts w:ascii="仿宋_GB2312" w:hAnsi="宋体" w:cs="Arial"/>
                <w:color w:val="000000"/>
                <w:sz w:val="24"/>
              </w:rPr>
            </w:pPr>
            <w:r>
              <w:rPr>
                <w:rStyle w:val="font21"/>
                <w:rFonts w:ascii="仿宋_GB2312" w:eastAsia="仿宋_GB2312" w:cs="Arial" w:hint="default"/>
                <w:sz w:val="24"/>
              </w:rPr>
              <w:t>对标准实施情况进行总结分析，不断对团体标准提出修正意见。</w:t>
            </w:r>
          </w:p>
        </w:tc>
      </w:tr>
      <w:tr w:rsidR="009958E1">
        <w:trPr>
          <w:trHeight w:val="450"/>
        </w:trPr>
        <w:tc>
          <w:tcPr>
            <w:tcW w:w="754" w:type="pct"/>
            <w:tcBorders>
              <w:top w:val="single" w:sz="4" w:space="0" w:color="auto"/>
              <w:left w:val="single" w:sz="4" w:space="0" w:color="auto"/>
              <w:bottom w:val="single" w:sz="4" w:space="0" w:color="auto"/>
            </w:tcBorders>
            <w:vAlign w:val="center"/>
          </w:tcPr>
          <w:p w:rsidR="009958E1" w:rsidRDefault="00CF4061">
            <w:pPr>
              <w:ind w:firstLineChars="0" w:firstLine="0"/>
              <w:jc w:val="center"/>
              <w:rPr>
                <w:rFonts w:ascii="仿宋_GB2312" w:hAnsi="宋体" w:cs="Arial"/>
                <w:color w:val="000000"/>
                <w:sz w:val="24"/>
              </w:rPr>
            </w:pPr>
            <w:r>
              <w:rPr>
                <w:rStyle w:val="font21"/>
                <w:rFonts w:ascii="仿宋_GB2312" w:eastAsia="仿宋_GB2312" w:cs="Arial" w:hint="default"/>
                <w:sz w:val="24"/>
              </w:rPr>
              <w:t>周世运</w:t>
            </w:r>
          </w:p>
        </w:tc>
        <w:tc>
          <w:tcPr>
            <w:tcW w:w="899" w:type="pct"/>
            <w:tcBorders>
              <w:top w:val="single" w:sz="4" w:space="0" w:color="auto"/>
              <w:bottom w:val="single" w:sz="4" w:space="0" w:color="auto"/>
            </w:tcBorders>
            <w:vAlign w:val="center"/>
          </w:tcPr>
          <w:p w:rsidR="009958E1" w:rsidRDefault="00CF4061">
            <w:pPr>
              <w:ind w:firstLineChars="0" w:firstLine="0"/>
              <w:jc w:val="center"/>
              <w:rPr>
                <w:rFonts w:ascii="仿宋_GB2312" w:hAnsi="宋体" w:cs="Arial"/>
                <w:color w:val="000000"/>
                <w:sz w:val="24"/>
              </w:rPr>
            </w:pPr>
            <w:r>
              <w:rPr>
                <w:rStyle w:val="font21"/>
                <w:rFonts w:ascii="仿宋_GB2312" w:eastAsia="仿宋_GB2312" w:cs="Arial" w:hint="default"/>
                <w:sz w:val="24"/>
              </w:rPr>
              <w:t>高级兽医</w:t>
            </w:r>
            <w:r>
              <w:rPr>
                <w:rFonts w:ascii="仿宋_GB2312" w:cs="Arial" w:hint="eastAsia"/>
                <w:color w:val="000000"/>
                <w:sz w:val="24"/>
              </w:rPr>
              <w:br/>
            </w:r>
            <w:r>
              <w:rPr>
                <w:rStyle w:val="font21"/>
                <w:rFonts w:ascii="仿宋_GB2312" w:eastAsia="仿宋_GB2312" w:cs="Arial" w:hint="default"/>
                <w:sz w:val="24"/>
              </w:rPr>
              <w:t>师</w:t>
            </w:r>
          </w:p>
        </w:tc>
        <w:tc>
          <w:tcPr>
            <w:tcW w:w="1023" w:type="pct"/>
            <w:tcBorders>
              <w:top w:val="single" w:sz="4" w:space="0" w:color="auto"/>
              <w:bottom w:val="single" w:sz="4" w:space="0" w:color="auto"/>
            </w:tcBorders>
            <w:vAlign w:val="center"/>
          </w:tcPr>
          <w:p w:rsidR="009958E1" w:rsidRDefault="00CF4061">
            <w:pPr>
              <w:ind w:firstLineChars="0" w:firstLine="0"/>
              <w:jc w:val="center"/>
              <w:rPr>
                <w:rFonts w:ascii="仿宋_GB2312" w:hAnsi="宋体" w:cs="Arial"/>
                <w:color w:val="000000"/>
                <w:sz w:val="24"/>
              </w:rPr>
            </w:pPr>
            <w:r>
              <w:rPr>
                <w:rStyle w:val="font21"/>
                <w:rFonts w:ascii="仿宋_GB2312" w:eastAsia="仿宋_GB2312" w:cs="Arial" w:hint="default"/>
                <w:sz w:val="24"/>
              </w:rPr>
              <w:t>灵山县农业农村局</w:t>
            </w:r>
          </w:p>
        </w:tc>
        <w:tc>
          <w:tcPr>
            <w:tcW w:w="2324" w:type="pct"/>
            <w:tcBorders>
              <w:top w:val="single" w:sz="4" w:space="0" w:color="auto"/>
              <w:bottom w:val="single" w:sz="4" w:space="0" w:color="auto"/>
              <w:right w:val="single" w:sz="4" w:space="0" w:color="auto"/>
            </w:tcBorders>
            <w:vAlign w:val="center"/>
          </w:tcPr>
          <w:p w:rsidR="009958E1" w:rsidRDefault="00CF4061">
            <w:pPr>
              <w:ind w:firstLineChars="0" w:firstLine="0"/>
              <w:rPr>
                <w:rFonts w:ascii="仿宋_GB2312" w:hAnsi="宋体" w:cs="Arial"/>
                <w:color w:val="000000"/>
                <w:sz w:val="24"/>
              </w:rPr>
            </w:pPr>
            <w:r>
              <w:rPr>
                <w:rStyle w:val="font21"/>
                <w:rFonts w:ascii="仿宋_GB2312" w:eastAsia="仿宋_GB2312" w:cs="Arial" w:hint="default"/>
                <w:sz w:val="24"/>
              </w:rPr>
              <w:t>对标准实施情况进行总结分析，不断对团体标准提出修正意见。</w:t>
            </w:r>
          </w:p>
        </w:tc>
      </w:tr>
      <w:tr w:rsidR="009958E1">
        <w:trPr>
          <w:trHeight w:val="450"/>
        </w:trPr>
        <w:tc>
          <w:tcPr>
            <w:tcW w:w="754" w:type="pct"/>
            <w:tcBorders>
              <w:top w:val="single" w:sz="4" w:space="0" w:color="auto"/>
              <w:left w:val="single" w:sz="4" w:space="0" w:color="auto"/>
              <w:bottom w:val="single" w:sz="4" w:space="0" w:color="auto"/>
            </w:tcBorders>
            <w:vAlign w:val="center"/>
          </w:tcPr>
          <w:p w:rsidR="009958E1" w:rsidRDefault="00CF4061">
            <w:pPr>
              <w:ind w:firstLineChars="0" w:firstLine="0"/>
              <w:jc w:val="center"/>
              <w:rPr>
                <w:rFonts w:ascii="仿宋_GB2312" w:hAnsi="宋体" w:cs="Arial"/>
                <w:color w:val="000000"/>
                <w:sz w:val="24"/>
              </w:rPr>
            </w:pPr>
            <w:r>
              <w:rPr>
                <w:rStyle w:val="font21"/>
                <w:rFonts w:ascii="仿宋_GB2312" w:eastAsia="仿宋_GB2312" w:cs="Arial" w:hint="default"/>
                <w:sz w:val="24"/>
              </w:rPr>
              <w:t>潘伟军</w:t>
            </w:r>
          </w:p>
        </w:tc>
        <w:tc>
          <w:tcPr>
            <w:tcW w:w="899" w:type="pct"/>
            <w:tcBorders>
              <w:top w:val="single" w:sz="4" w:space="0" w:color="auto"/>
              <w:bottom w:val="single" w:sz="4" w:space="0" w:color="auto"/>
            </w:tcBorders>
            <w:vAlign w:val="center"/>
          </w:tcPr>
          <w:p w:rsidR="009958E1" w:rsidRDefault="00CF4061">
            <w:pPr>
              <w:ind w:firstLineChars="0" w:firstLine="0"/>
              <w:jc w:val="center"/>
              <w:rPr>
                <w:rFonts w:ascii="仿宋_GB2312" w:hAnsi="宋体" w:cs="Arial"/>
                <w:color w:val="000000"/>
                <w:sz w:val="24"/>
              </w:rPr>
            </w:pPr>
            <w:r>
              <w:rPr>
                <w:rStyle w:val="font21"/>
                <w:rFonts w:ascii="仿宋_GB2312" w:eastAsia="仿宋_GB2312" w:cs="Arial" w:hint="default"/>
                <w:sz w:val="24"/>
              </w:rPr>
              <w:t>/</w:t>
            </w:r>
          </w:p>
        </w:tc>
        <w:tc>
          <w:tcPr>
            <w:tcW w:w="1023" w:type="pct"/>
            <w:tcBorders>
              <w:top w:val="single" w:sz="4" w:space="0" w:color="auto"/>
              <w:bottom w:val="single" w:sz="4" w:space="0" w:color="auto"/>
            </w:tcBorders>
            <w:vAlign w:val="center"/>
          </w:tcPr>
          <w:p w:rsidR="009958E1" w:rsidRDefault="00CF4061">
            <w:pPr>
              <w:ind w:firstLineChars="0" w:firstLine="0"/>
              <w:jc w:val="center"/>
              <w:rPr>
                <w:rFonts w:ascii="仿宋_GB2312" w:hAnsi="宋体" w:cs="Arial"/>
                <w:color w:val="000000"/>
                <w:sz w:val="24"/>
              </w:rPr>
            </w:pPr>
            <w:r>
              <w:rPr>
                <w:rStyle w:val="font21"/>
                <w:rFonts w:ascii="仿宋_GB2312" w:eastAsia="仿宋_GB2312" w:cs="Arial" w:hint="default"/>
                <w:sz w:val="24"/>
              </w:rPr>
              <w:t>广西壮族自治区水牛研究所</w:t>
            </w:r>
          </w:p>
        </w:tc>
        <w:tc>
          <w:tcPr>
            <w:tcW w:w="2324" w:type="pct"/>
            <w:tcBorders>
              <w:top w:val="single" w:sz="4" w:space="0" w:color="auto"/>
              <w:bottom w:val="single" w:sz="4" w:space="0" w:color="auto"/>
              <w:right w:val="single" w:sz="4" w:space="0" w:color="auto"/>
            </w:tcBorders>
            <w:vAlign w:val="center"/>
          </w:tcPr>
          <w:p w:rsidR="009958E1" w:rsidRDefault="00CF4061">
            <w:pPr>
              <w:ind w:firstLineChars="0" w:firstLine="0"/>
              <w:rPr>
                <w:rFonts w:ascii="仿宋_GB2312" w:hAnsi="宋体" w:cs="Arial"/>
                <w:color w:val="000000"/>
                <w:sz w:val="24"/>
              </w:rPr>
            </w:pPr>
            <w:r>
              <w:rPr>
                <w:rStyle w:val="font21"/>
                <w:rFonts w:ascii="仿宋_GB2312" w:eastAsia="仿宋_GB2312" w:cs="Arial" w:hint="default"/>
                <w:sz w:val="24"/>
              </w:rPr>
              <w:t>对标准实施情况进行总结分析，不断对团体标准提出修正意见。</w:t>
            </w:r>
          </w:p>
        </w:tc>
      </w:tr>
      <w:tr w:rsidR="009958E1">
        <w:trPr>
          <w:trHeight w:val="450"/>
        </w:trPr>
        <w:tc>
          <w:tcPr>
            <w:tcW w:w="754" w:type="pct"/>
            <w:tcBorders>
              <w:top w:val="single" w:sz="4" w:space="0" w:color="auto"/>
              <w:left w:val="single" w:sz="4" w:space="0" w:color="auto"/>
              <w:bottom w:val="single" w:sz="4" w:space="0" w:color="auto"/>
            </w:tcBorders>
            <w:vAlign w:val="center"/>
          </w:tcPr>
          <w:p w:rsidR="009958E1" w:rsidRDefault="00CF4061">
            <w:pPr>
              <w:ind w:firstLineChars="0" w:firstLine="0"/>
              <w:jc w:val="center"/>
              <w:rPr>
                <w:rFonts w:ascii="仿宋_GB2312" w:hAnsi="宋体" w:cs="Arial"/>
                <w:color w:val="000000"/>
                <w:sz w:val="24"/>
              </w:rPr>
            </w:pPr>
            <w:r>
              <w:rPr>
                <w:rStyle w:val="font21"/>
                <w:rFonts w:ascii="仿宋_GB2312" w:eastAsia="仿宋_GB2312" w:cs="Arial" w:hint="default"/>
                <w:sz w:val="24"/>
              </w:rPr>
              <w:t>鄢胜飞</w:t>
            </w:r>
          </w:p>
        </w:tc>
        <w:tc>
          <w:tcPr>
            <w:tcW w:w="899" w:type="pct"/>
            <w:tcBorders>
              <w:top w:val="single" w:sz="4" w:space="0" w:color="auto"/>
              <w:bottom w:val="single" w:sz="4" w:space="0" w:color="auto"/>
            </w:tcBorders>
            <w:vAlign w:val="center"/>
          </w:tcPr>
          <w:p w:rsidR="009958E1" w:rsidRDefault="00CF4061">
            <w:pPr>
              <w:ind w:firstLineChars="0" w:firstLine="0"/>
              <w:jc w:val="center"/>
              <w:rPr>
                <w:rFonts w:ascii="仿宋_GB2312" w:hAnsi="宋体" w:cs="Arial"/>
                <w:color w:val="000000"/>
                <w:sz w:val="24"/>
              </w:rPr>
            </w:pPr>
            <w:r>
              <w:rPr>
                <w:rStyle w:val="font21"/>
                <w:rFonts w:ascii="仿宋_GB2312" w:eastAsia="仿宋_GB2312" w:cs="Arial" w:hint="default"/>
                <w:sz w:val="24"/>
              </w:rPr>
              <w:t>高级畜牧师</w:t>
            </w:r>
          </w:p>
        </w:tc>
        <w:tc>
          <w:tcPr>
            <w:tcW w:w="1023" w:type="pct"/>
            <w:tcBorders>
              <w:top w:val="single" w:sz="4" w:space="0" w:color="auto"/>
              <w:bottom w:val="single" w:sz="4" w:space="0" w:color="auto"/>
            </w:tcBorders>
            <w:vAlign w:val="center"/>
          </w:tcPr>
          <w:p w:rsidR="009958E1" w:rsidRDefault="00CF4061">
            <w:pPr>
              <w:ind w:firstLineChars="0" w:firstLine="0"/>
              <w:jc w:val="center"/>
              <w:rPr>
                <w:rFonts w:ascii="仿宋_GB2312" w:hAnsi="宋体" w:cs="Arial"/>
                <w:color w:val="000000"/>
                <w:sz w:val="24"/>
              </w:rPr>
            </w:pPr>
            <w:r>
              <w:rPr>
                <w:rStyle w:val="font21"/>
                <w:rFonts w:ascii="仿宋_GB2312" w:eastAsia="仿宋_GB2312" w:cs="Arial" w:hint="default"/>
                <w:sz w:val="24"/>
              </w:rPr>
              <w:t>广西壮族自治区水牛研究所</w:t>
            </w:r>
          </w:p>
        </w:tc>
        <w:tc>
          <w:tcPr>
            <w:tcW w:w="2324" w:type="pct"/>
            <w:tcBorders>
              <w:top w:val="single" w:sz="4" w:space="0" w:color="auto"/>
              <w:bottom w:val="single" w:sz="4" w:space="0" w:color="auto"/>
              <w:right w:val="single" w:sz="4" w:space="0" w:color="auto"/>
            </w:tcBorders>
            <w:vAlign w:val="center"/>
          </w:tcPr>
          <w:p w:rsidR="009958E1" w:rsidRDefault="00CF4061">
            <w:pPr>
              <w:ind w:firstLineChars="0" w:firstLine="0"/>
              <w:rPr>
                <w:rFonts w:ascii="仿宋_GB2312" w:hAnsi="宋体" w:cs="Arial"/>
                <w:color w:val="000000"/>
                <w:sz w:val="24"/>
              </w:rPr>
            </w:pPr>
            <w:r>
              <w:rPr>
                <w:rStyle w:val="font21"/>
                <w:rFonts w:ascii="仿宋_GB2312" w:eastAsia="仿宋_GB2312" w:cs="Arial" w:hint="default"/>
                <w:sz w:val="24"/>
              </w:rPr>
              <w:t>对标准实施情况进行总结分析，不断对团体标准提出修正意见。</w:t>
            </w:r>
          </w:p>
        </w:tc>
      </w:tr>
      <w:tr w:rsidR="009958E1">
        <w:trPr>
          <w:trHeight w:val="450"/>
        </w:trPr>
        <w:tc>
          <w:tcPr>
            <w:tcW w:w="754" w:type="pct"/>
            <w:tcBorders>
              <w:top w:val="single" w:sz="4" w:space="0" w:color="auto"/>
              <w:left w:val="single" w:sz="4" w:space="0" w:color="auto"/>
              <w:bottom w:val="single" w:sz="4" w:space="0" w:color="auto"/>
            </w:tcBorders>
            <w:vAlign w:val="center"/>
          </w:tcPr>
          <w:p w:rsidR="009958E1" w:rsidRDefault="00CF4061">
            <w:pPr>
              <w:ind w:firstLineChars="0" w:firstLine="0"/>
              <w:jc w:val="center"/>
              <w:rPr>
                <w:rFonts w:ascii="仿宋_GB2312" w:hAnsi="宋体" w:cs="Arial"/>
                <w:color w:val="000000"/>
                <w:sz w:val="24"/>
              </w:rPr>
            </w:pPr>
            <w:r>
              <w:rPr>
                <w:rStyle w:val="font21"/>
                <w:rFonts w:ascii="仿宋_GB2312" w:eastAsia="仿宋_GB2312" w:cs="Arial" w:hint="default"/>
                <w:sz w:val="24"/>
              </w:rPr>
              <w:t>刘黄豪</w:t>
            </w:r>
          </w:p>
        </w:tc>
        <w:tc>
          <w:tcPr>
            <w:tcW w:w="899" w:type="pct"/>
            <w:tcBorders>
              <w:top w:val="single" w:sz="4" w:space="0" w:color="auto"/>
              <w:bottom w:val="single" w:sz="4" w:space="0" w:color="auto"/>
            </w:tcBorders>
            <w:vAlign w:val="center"/>
          </w:tcPr>
          <w:p w:rsidR="009958E1" w:rsidRDefault="00CF4061">
            <w:pPr>
              <w:ind w:firstLineChars="0" w:firstLine="0"/>
              <w:jc w:val="center"/>
              <w:rPr>
                <w:rFonts w:ascii="仿宋_GB2312" w:hAnsi="宋体" w:cs="Arial"/>
                <w:color w:val="000000"/>
                <w:sz w:val="24"/>
              </w:rPr>
            </w:pPr>
            <w:r>
              <w:rPr>
                <w:rStyle w:val="font21"/>
                <w:rFonts w:ascii="仿宋_GB2312" w:eastAsia="仿宋_GB2312" w:cs="Arial" w:hint="default"/>
                <w:sz w:val="24"/>
              </w:rPr>
              <w:t>/</w:t>
            </w:r>
          </w:p>
        </w:tc>
        <w:tc>
          <w:tcPr>
            <w:tcW w:w="1023" w:type="pct"/>
            <w:tcBorders>
              <w:top w:val="single" w:sz="4" w:space="0" w:color="auto"/>
              <w:bottom w:val="single" w:sz="4" w:space="0" w:color="auto"/>
            </w:tcBorders>
            <w:vAlign w:val="center"/>
          </w:tcPr>
          <w:p w:rsidR="009958E1" w:rsidRDefault="00CF4061">
            <w:pPr>
              <w:ind w:firstLineChars="0" w:firstLine="0"/>
              <w:jc w:val="center"/>
              <w:rPr>
                <w:rFonts w:ascii="仿宋_GB2312" w:hAnsi="宋体" w:cs="Arial"/>
                <w:color w:val="000000"/>
                <w:sz w:val="24"/>
              </w:rPr>
            </w:pPr>
            <w:r>
              <w:rPr>
                <w:rStyle w:val="font21"/>
                <w:rFonts w:ascii="仿宋_GB2312" w:eastAsia="仿宋_GB2312" w:cs="Arial" w:hint="default"/>
                <w:sz w:val="24"/>
              </w:rPr>
              <w:t>广西壮族自治区水牛研究所</w:t>
            </w:r>
          </w:p>
        </w:tc>
        <w:tc>
          <w:tcPr>
            <w:tcW w:w="2324" w:type="pct"/>
            <w:tcBorders>
              <w:top w:val="single" w:sz="4" w:space="0" w:color="auto"/>
              <w:bottom w:val="single" w:sz="4" w:space="0" w:color="auto"/>
              <w:right w:val="single" w:sz="4" w:space="0" w:color="auto"/>
            </w:tcBorders>
            <w:vAlign w:val="center"/>
          </w:tcPr>
          <w:p w:rsidR="009958E1" w:rsidRDefault="00CF4061">
            <w:pPr>
              <w:ind w:firstLineChars="0" w:firstLine="0"/>
              <w:rPr>
                <w:rFonts w:ascii="仿宋_GB2312" w:hAnsi="宋体" w:cs="Arial"/>
                <w:color w:val="000000"/>
                <w:sz w:val="24"/>
              </w:rPr>
            </w:pPr>
            <w:r>
              <w:rPr>
                <w:rStyle w:val="font21"/>
                <w:rFonts w:ascii="仿宋_GB2312" w:eastAsia="仿宋_GB2312" w:cs="Arial" w:hint="default"/>
                <w:sz w:val="24"/>
              </w:rPr>
              <w:t>对标准实施情况进行总结分析，不断对团体标准提出修正意见。</w:t>
            </w:r>
          </w:p>
        </w:tc>
      </w:tr>
      <w:tr w:rsidR="009958E1">
        <w:trPr>
          <w:trHeight w:val="450"/>
        </w:trPr>
        <w:tc>
          <w:tcPr>
            <w:tcW w:w="754" w:type="pct"/>
            <w:tcBorders>
              <w:top w:val="single" w:sz="4" w:space="0" w:color="auto"/>
              <w:left w:val="single" w:sz="4" w:space="0" w:color="auto"/>
              <w:bottom w:val="single" w:sz="4" w:space="0" w:color="auto"/>
            </w:tcBorders>
            <w:vAlign w:val="center"/>
          </w:tcPr>
          <w:p w:rsidR="009958E1" w:rsidRDefault="00CF4061">
            <w:pPr>
              <w:ind w:firstLineChars="0" w:firstLine="0"/>
              <w:jc w:val="center"/>
              <w:rPr>
                <w:rFonts w:ascii="仿宋_GB2312" w:hAnsi="宋体" w:cs="Arial"/>
                <w:color w:val="000000"/>
                <w:sz w:val="24"/>
              </w:rPr>
            </w:pPr>
            <w:r>
              <w:rPr>
                <w:rStyle w:val="font21"/>
                <w:rFonts w:ascii="仿宋_GB2312" w:eastAsia="仿宋_GB2312" w:cs="Arial" w:hint="default"/>
                <w:sz w:val="24"/>
              </w:rPr>
              <w:t>陈玫婷</w:t>
            </w:r>
          </w:p>
        </w:tc>
        <w:tc>
          <w:tcPr>
            <w:tcW w:w="899" w:type="pct"/>
            <w:tcBorders>
              <w:top w:val="single" w:sz="4" w:space="0" w:color="auto"/>
              <w:bottom w:val="single" w:sz="4" w:space="0" w:color="auto"/>
            </w:tcBorders>
            <w:vAlign w:val="center"/>
          </w:tcPr>
          <w:p w:rsidR="009958E1" w:rsidRDefault="00CF4061">
            <w:pPr>
              <w:ind w:firstLineChars="0" w:firstLine="0"/>
              <w:jc w:val="center"/>
              <w:rPr>
                <w:rFonts w:ascii="仿宋_GB2312" w:hAnsi="宋体" w:cs="Arial"/>
                <w:color w:val="000000"/>
                <w:sz w:val="24"/>
              </w:rPr>
            </w:pPr>
            <w:r>
              <w:rPr>
                <w:rStyle w:val="font21"/>
                <w:rFonts w:ascii="仿宋_GB2312" w:eastAsia="仿宋_GB2312" w:cs="Arial" w:hint="default"/>
                <w:sz w:val="24"/>
              </w:rPr>
              <w:t>/</w:t>
            </w:r>
          </w:p>
        </w:tc>
        <w:tc>
          <w:tcPr>
            <w:tcW w:w="1023" w:type="pct"/>
            <w:tcBorders>
              <w:top w:val="single" w:sz="4" w:space="0" w:color="auto"/>
              <w:bottom w:val="single" w:sz="4" w:space="0" w:color="auto"/>
            </w:tcBorders>
            <w:vAlign w:val="center"/>
          </w:tcPr>
          <w:p w:rsidR="009958E1" w:rsidRDefault="00CF4061">
            <w:pPr>
              <w:ind w:firstLineChars="0" w:firstLine="0"/>
              <w:jc w:val="center"/>
              <w:rPr>
                <w:rFonts w:ascii="仿宋_GB2312" w:hAnsi="宋体" w:cs="Arial"/>
                <w:color w:val="000000"/>
                <w:sz w:val="24"/>
              </w:rPr>
            </w:pPr>
            <w:r>
              <w:rPr>
                <w:rStyle w:val="font21"/>
                <w:rFonts w:ascii="仿宋_GB2312" w:eastAsia="仿宋_GB2312" w:cs="Arial" w:hint="default"/>
                <w:sz w:val="24"/>
              </w:rPr>
              <w:t>广西壮族自治区水牛研究所</w:t>
            </w:r>
          </w:p>
        </w:tc>
        <w:tc>
          <w:tcPr>
            <w:tcW w:w="2324" w:type="pct"/>
            <w:tcBorders>
              <w:top w:val="single" w:sz="4" w:space="0" w:color="auto"/>
              <w:bottom w:val="single" w:sz="4" w:space="0" w:color="auto"/>
              <w:right w:val="single" w:sz="4" w:space="0" w:color="auto"/>
            </w:tcBorders>
            <w:vAlign w:val="center"/>
          </w:tcPr>
          <w:p w:rsidR="009958E1" w:rsidRDefault="00CF4061">
            <w:pPr>
              <w:ind w:firstLineChars="0" w:firstLine="0"/>
              <w:rPr>
                <w:rFonts w:ascii="仿宋_GB2312" w:hAnsi="宋体" w:cs="Arial"/>
                <w:color w:val="000000"/>
                <w:sz w:val="24"/>
              </w:rPr>
            </w:pPr>
            <w:r>
              <w:rPr>
                <w:rStyle w:val="font21"/>
                <w:rFonts w:ascii="仿宋_GB2312" w:eastAsia="仿宋_GB2312" w:cs="Arial" w:hint="default"/>
                <w:sz w:val="24"/>
              </w:rPr>
              <w:t>对标准实施情况进行总结分析，不断对团体标准提出修正意见。</w:t>
            </w:r>
          </w:p>
        </w:tc>
      </w:tr>
      <w:tr w:rsidR="009958E1">
        <w:trPr>
          <w:trHeight w:val="450"/>
        </w:trPr>
        <w:tc>
          <w:tcPr>
            <w:tcW w:w="754" w:type="pct"/>
            <w:tcBorders>
              <w:top w:val="single" w:sz="4" w:space="0" w:color="auto"/>
              <w:left w:val="single" w:sz="4" w:space="0" w:color="auto"/>
              <w:bottom w:val="single" w:sz="4" w:space="0" w:color="auto"/>
            </w:tcBorders>
            <w:vAlign w:val="center"/>
          </w:tcPr>
          <w:p w:rsidR="009958E1" w:rsidRDefault="00CF4061">
            <w:pPr>
              <w:ind w:firstLineChars="0" w:firstLine="0"/>
              <w:jc w:val="center"/>
              <w:rPr>
                <w:rFonts w:ascii="仿宋_GB2312" w:hAnsi="宋体" w:cs="Arial"/>
                <w:color w:val="000000"/>
                <w:sz w:val="24"/>
              </w:rPr>
            </w:pPr>
            <w:r>
              <w:rPr>
                <w:rStyle w:val="font21"/>
                <w:rFonts w:ascii="仿宋_GB2312" w:eastAsia="仿宋_GB2312" w:cs="Arial" w:hint="default"/>
                <w:sz w:val="24"/>
              </w:rPr>
              <w:t>周梦圆</w:t>
            </w:r>
          </w:p>
        </w:tc>
        <w:tc>
          <w:tcPr>
            <w:tcW w:w="899" w:type="pct"/>
            <w:tcBorders>
              <w:top w:val="single" w:sz="4" w:space="0" w:color="auto"/>
              <w:bottom w:val="single" w:sz="4" w:space="0" w:color="auto"/>
            </w:tcBorders>
            <w:vAlign w:val="center"/>
          </w:tcPr>
          <w:p w:rsidR="009958E1" w:rsidRDefault="00CF4061">
            <w:pPr>
              <w:ind w:firstLineChars="0" w:firstLine="0"/>
              <w:jc w:val="center"/>
              <w:rPr>
                <w:rFonts w:ascii="仿宋_GB2312" w:hAnsi="宋体" w:cs="Arial"/>
                <w:color w:val="000000"/>
                <w:sz w:val="24"/>
              </w:rPr>
            </w:pPr>
            <w:r>
              <w:rPr>
                <w:rStyle w:val="font21"/>
                <w:rFonts w:ascii="仿宋_GB2312" w:eastAsia="仿宋_GB2312" w:cs="Arial" w:hint="default"/>
                <w:sz w:val="24"/>
              </w:rPr>
              <w:t>/</w:t>
            </w:r>
          </w:p>
        </w:tc>
        <w:tc>
          <w:tcPr>
            <w:tcW w:w="1023" w:type="pct"/>
            <w:tcBorders>
              <w:top w:val="single" w:sz="4" w:space="0" w:color="auto"/>
              <w:bottom w:val="single" w:sz="4" w:space="0" w:color="auto"/>
            </w:tcBorders>
            <w:vAlign w:val="center"/>
          </w:tcPr>
          <w:p w:rsidR="009958E1" w:rsidRDefault="00CF4061">
            <w:pPr>
              <w:ind w:firstLineChars="0" w:firstLine="0"/>
              <w:jc w:val="center"/>
              <w:rPr>
                <w:rFonts w:ascii="仿宋_GB2312" w:hAnsi="宋体" w:cs="Arial"/>
                <w:color w:val="000000"/>
                <w:sz w:val="24"/>
              </w:rPr>
            </w:pPr>
            <w:r>
              <w:rPr>
                <w:rStyle w:val="font21"/>
                <w:rFonts w:ascii="仿宋_GB2312" w:eastAsia="仿宋_GB2312" w:cs="Arial" w:hint="default"/>
                <w:sz w:val="24"/>
              </w:rPr>
              <w:t>广西壮族自治区水牛研究所</w:t>
            </w:r>
          </w:p>
        </w:tc>
        <w:tc>
          <w:tcPr>
            <w:tcW w:w="2324" w:type="pct"/>
            <w:tcBorders>
              <w:top w:val="single" w:sz="4" w:space="0" w:color="auto"/>
              <w:bottom w:val="single" w:sz="4" w:space="0" w:color="auto"/>
              <w:right w:val="single" w:sz="4" w:space="0" w:color="auto"/>
            </w:tcBorders>
            <w:vAlign w:val="center"/>
          </w:tcPr>
          <w:p w:rsidR="009958E1" w:rsidRDefault="00CF4061">
            <w:pPr>
              <w:ind w:firstLineChars="0" w:firstLine="0"/>
              <w:rPr>
                <w:rFonts w:ascii="仿宋_GB2312" w:hAnsi="宋体" w:cs="Arial"/>
                <w:color w:val="000000"/>
                <w:sz w:val="24"/>
              </w:rPr>
            </w:pPr>
            <w:r>
              <w:rPr>
                <w:rStyle w:val="font21"/>
                <w:rFonts w:ascii="仿宋_GB2312" w:eastAsia="仿宋_GB2312" w:cs="Arial" w:hint="default"/>
                <w:sz w:val="24"/>
              </w:rPr>
              <w:t>对标准实施情况进行总结分析，不断对团体标准提出修正意见。</w:t>
            </w:r>
          </w:p>
        </w:tc>
      </w:tr>
      <w:tr w:rsidR="009958E1">
        <w:trPr>
          <w:trHeight w:val="450"/>
        </w:trPr>
        <w:tc>
          <w:tcPr>
            <w:tcW w:w="754" w:type="pct"/>
            <w:tcBorders>
              <w:top w:val="single" w:sz="4" w:space="0" w:color="auto"/>
              <w:left w:val="single" w:sz="4" w:space="0" w:color="auto"/>
              <w:bottom w:val="single" w:sz="4" w:space="0" w:color="auto"/>
            </w:tcBorders>
            <w:vAlign w:val="center"/>
          </w:tcPr>
          <w:p w:rsidR="009958E1" w:rsidRPr="00F75B80" w:rsidRDefault="00CF4061">
            <w:pPr>
              <w:ind w:firstLineChars="0" w:firstLine="0"/>
              <w:jc w:val="center"/>
              <w:rPr>
                <w:rStyle w:val="font21"/>
                <w:rFonts w:ascii="仿宋_GB2312" w:eastAsia="仿宋_GB2312" w:hint="default"/>
                <w:sz w:val="24"/>
              </w:rPr>
            </w:pPr>
            <w:r>
              <w:rPr>
                <w:rStyle w:val="font21"/>
                <w:rFonts w:ascii="仿宋_GB2312" w:eastAsia="仿宋_GB2312" w:cs="Arial" w:hint="default"/>
                <w:sz w:val="24"/>
              </w:rPr>
              <w:t>钟华配</w:t>
            </w:r>
          </w:p>
        </w:tc>
        <w:tc>
          <w:tcPr>
            <w:tcW w:w="899" w:type="pct"/>
            <w:tcBorders>
              <w:top w:val="single" w:sz="4" w:space="0" w:color="auto"/>
              <w:bottom w:val="single" w:sz="4" w:space="0" w:color="auto"/>
            </w:tcBorders>
            <w:vAlign w:val="center"/>
          </w:tcPr>
          <w:p w:rsidR="009958E1" w:rsidRPr="00F75B80" w:rsidRDefault="00CF4061">
            <w:pPr>
              <w:ind w:firstLineChars="0" w:firstLine="0"/>
              <w:jc w:val="center"/>
              <w:rPr>
                <w:rStyle w:val="font21"/>
                <w:rFonts w:ascii="仿宋_GB2312" w:eastAsia="仿宋_GB2312" w:hint="default"/>
                <w:sz w:val="24"/>
              </w:rPr>
            </w:pPr>
            <w:r>
              <w:rPr>
                <w:rStyle w:val="font21"/>
                <w:rFonts w:ascii="仿宋_GB2312" w:eastAsia="仿宋_GB2312" w:cs="Arial" w:hint="default"/>
                <w:sz w:val="24"/>
              </w:rPr>
              <w:t>高级畜牧师</w:t>
            </w:r>
          </w:p>
        </w:tc>
        <w:tc>
          <w:tcPr>
            <w:tcW w:w="1023" w:type="pct"/>
            <w:tcBorders>
              <w:top w:val="single" w:sz="4" w:space="0" w:color="auto"/>
              <w:bottom w:val="single" w:sz="4" w:space="0" w:color="auto"/>
            </w:tcBorders>
            <w:vAlign w:val="center"/>
          </w:tcPr>
          <w:p w:rsidR="009958E1" w:rsidRPr="00F75B80" w:rsidRDefault="00CF4061">
            <w:pPr>
              <w:ind w:firstLineChars="0" w:firstLine="0"/>
              <w:jc w:val="center"/>
              <w:rPr>
                <w:rStyle w:val="font21"/>
                <w:rFonts w:ascii="仿宋_GB2312" w:eastAsia="仿宋_GB2312" w:hint="default"/>
                <w:sz w:val="24"/>
              </w:rPr>
            </w:pPr>
            <w:r>
              <w:rPr>
                <w:rStyle w:val="font21"/>
                <w:rFonts w:ascii="仿宋_GB2312" w:eastAsia="仿宋_GB2312" w:cs="Arial" w:hint="default"/>
                <w:sz w:val="24"/>
              </w:rPr>
              <w:t>广西壮族自治区水牛研究所</w:t>
            </w:r>
          </w:p>
        </w:tc>
        <w:tc>
          <w:tcPr>
            <w:tcW w:w="2324" w:type="pct"/>
            <w:tcBorders>
              <w:top w:val="single" w:sz="4" w:space="0" w:color="auto"/>
              <w:bottom w:val="single" w:sz="4" w:space="0" w:color="auto"/>
              <w:right w:val="single" w:sz="4" w:space="0" w:color="auto"/>
            </w:tcBorders>
            <w:vAlign w:val="center"/>
          </w:tcPr>
          <w:p w:rsidR="009958E1" w:rsidRPr="00F75B80" w:rsidRDefault="00CF4061">
            <w:pPr>
              <w:ind w:firstLineChars="0" w:firstLine="0"/>
              <w:rPr>
                <w:rStyle w:val="font21"/>
                <w:rFonts w:ascii="仿宋_GB2312" w:eastAsia="仿宋_GB2312" w:hint="default"/>
                <w:sz w:val="24"/>
              </w:rPr>
            </w:pPr>
            <w:r>
              <w:rPr>
                <w:rStyle w:val="font21"/>
                <w:rFonts w:ascii="仿宋_GB2312" w:eastAsia="仿宋_GB2312" w:cs="Arial" w:hint="default"/>
                <w:sz w:val="24"/>
              </w:rPr>
              <w:t>对标准实施情况进行总结分析，不断对团体标准提出修正意见。</w:t>
            </w:r>
          </w:p>
        </w:tc>
      </w:tr>
      <w:tr w:rsidR="009958E1">
        <w:trPr>
          <w:trHeight w:val="450"/>
        </w:trPr>
        <w:tc>
          <w:tcPr>
            <w:tcW w:w="754" w:type="pct"/>
            <w:tcBorders>
              <w:top w:val="single" w:sz="4" w:space="0" w:color="auto"/>
              <w:left w:val="single" w:sz="4" w:space="0" w:color="auto"/>
              <w:bottom w:val="single" w:sz="4" w:space="0" w:color="auto"/>
            </w:tcBorders>
            <w:vAlign w:val="center"/>
          </w:tcPr>
          <w:p w:rsidR="009958E1" w:rsidRDefault="00CF4061">
            <w:pPr>
              <w:ind w:firstLineChars="0" w:firstLine="0"/>
              <w:jc w:val="center"/>
              <w:rPr>
                <w:rFonts w:ascii="仿宋_GB2312" w:hAnsi="宋体" w:cs="Arial"/>
                <w:color w:val="000000"/>
                <w:sz w:val="24"/>
              </w:rPr>
            </w:pPr>
            <w:r>
              <w:rPr>
                <w:rStyle w:val="font21"/>
                <w:rFonts w:ascii="仿宋_GB2312" w:eastAsia="仿宋_GB2312" w:cs="Arial" w:hint="default"/>
                <w:sz w:val="24"/>
              </w:rPr>
              <w:t>梁</w:t>
            </w:r>
            <w:r>
              <w:rPr>
                <w:rStyle w:val="font21"/>
                <w:rFonts w:ascii="仿宋_GB2312" w:eastAsia="仿宋_GB2312" w:cs="Arial" w:hint="default"/>
                <w:sz w:val="24"/>
              </w:rPr>
              <w:t xml:space="preserve"> </w:t>
            </w:r>
            <w:r>
              <w:rPr>
                <w:rStyle w:val="font21"/>
                <w:rFonts w:ascii="仿宋_GB2312" w:eastAsia="仿宋_GB2312" w:cs="Arial" w:hint="default"/>
                <w:sz w:val="24"/>
              </w:rPr>
              <w:t>淦</w:t>
            </w:r>
          </w:p>
        </w:tc>
        <w:tc>
          <w:tcPr>
            <w:tcW w:w="899" w:type="pct"/>
            <w:tcBorders>
              <w:top w:val="single" w:sz="4" w:space="0" w:color="auto"/>
              <w:bottom w:val="single" w:sz="4" w:space="0" w:color="auto"/>
            </w:tcBorders>
            <w:vAlign w:val="center"/>
          </w:tcPr>
          <w:p w:rsidR="009958E1" w:rsidRDefault="00CF4061">
            <w:pPr>
              <w:ind w:firstLineChars="0" w:firstLine="0"/>
              <w:jc w:val="center"/>
              <w:rPr>
                <w:rFonts w:ascii="仿宋_GB2312" w:hAnsi="宋体" w:cs="Arial"/>
                <w:color w:val="000000"/>
                <w:sz w:val="24"/>
              </w:rPr>
            </w:pPr>
            <w:r>
              <w:rPr>
                <w:rStyle w:val="font21"/>
                <w:rFonts w:ascii="仿宋_GB2312" w:eastAsia="仿宋_GB2312" w:cs="Arial" w:hint="default"/>
                <w:sz w:val="24"/>
              </w:rPr>
              <w:t>畜牧师</w:t>
            </w:r>
          </w:p>
        </w:tc>
        <w:tc>
          <w:tcPr>
            <w:tcW w:w="1023" w:type="pct"/>
            <w:tcBorders>
              <w:top w:val="single" w:sz="4" w:space="0" w:color="auto"/>
              <w:bottom w:val="single" w:sz="4" w:space="0" w:color="auto"/>
            </w:tcBorders>
            <w:vAlign w:val="center"/>
          </w:tcPr>
          <w:p w:rsidR="009958E1" w:rsidRDefault="00CF4061">
            <w:pPr>
              <w:ind w:firstLineChars="0" w:firstLine="0"/>
              <w:jc w:val="center"/>
              <w:rPr>
                <w:rFonts w:ascii="仿宋_GB2312" w:hAnsi="宋体" w:cs="Arial"/>
                <w:color w:val="000000"/>
                <w:sz w:val="24"/>
              </w:rPr>
            </w:pPr>
            <w:r>
              <w:rPr>
                <w:rStyle w:val="font21"/>
                <w:rFonts w:ascii="仿宋_GB2312" w:eastAsia="仿宋_GB2312" w:cs="Arial" w:hint="default"/>
                <w:sz w:val="24"/>
              </w:rPr>
              <w:t>广西壮族自治区水牛研究所</w:t>
            </w:r>
          </w:p>
        </w:tc>
        <w:tc>
          <w:tcPr>
            <w:tcW w:w="2324" w:type="pct"/>
            <w:tcBorders>
              <w:top w:val="single" w:sz="4" w:space="0" w:color="auto"/>
              <w:bottom w:val="single" w:sz="4" w:space="0" w:color="auto"/>
              <w:right w:val="single" w:sz="4" w:space="0" w:color="auto"/>
            </w:tcBorders>
            <w:vAlign w:val="center"/>
          </w:tcPr>
          <w:p w:rsidR="009958E1" w:rsidRDefault="00CF4061">
            <w:pPr>
              <w:ind w:firstLineChars="0" w:firstLine="0"/>
              <w:rPr>
                <w:rFonts w:ascii="仿宋_GB2312" w:hAnsi="宋体" w:cs="Arial"/>
                <w:color w:val="000000"/>
                <w:sz w:val="24"/>
              </w:rPr>
            </w:pPr>
            <w:r>
              <w:rPr>
                <w:rStyle w:val="font21"/>
                <w:rFonts w:ascii="仿宋_GB2312" w:eastAsia="仿宋_GB2312" w:cs="Arial" w:hint="default"/>
                <w:sz w:val="24"/>
              </w:rPr>
              <w:t>对标准实施情况进行总结分析，不断对团体标准提出修正意见。</w:t>
            </w:r>
          </w:p>
        </w:tc>
      </w:tr>
      <w:tr w:rsidR="009958E1">
        <w:trPr>
          <w:trHeight w:val="450"/>
        </w:trPr>
        <w:tc>
          <w:tcPr>
            <w:tcW w:w="754" w:type="pct"/>
            <w:tcBorders>
              <w:top w:val="single" w:sz="4" w:space="0" w:color="auto"/>
              <w:left w:val="single" w:sz="4" w:space="0" w:color="auto"/>
              <w:bottom w:val="single" w:sz="4" w:space="0" w:color="auto"/>
            </w:tcBorders>
            <w:vAlign w:val="center"/>
          </w:tcPr>
          <w:p w:rsidR="009958E1" w:rsidRDefault="00CF4061">
            <w:pPr>
              <w:ind w:firstLineChars="0" w:firstLine="0"/>
              <w:jc w:val="center"/>
              <w:rPr>
                <w:rFonts w:ascii="仿宋_GB2312" w:hAnsi="宋体" w:cs="Arial"/>
                <w:color w:val="000000"/>
                <w:sz w:val="24"/>
              </w:rPr>
            </w:pPr>
            <w:r>
              <w:rPr>
                <w:rStyle w:val="font21"/>
                <w:rFonts w:ascii="仿宋_GB2312" w:eastAsia="仿宋_GB2312" w:cs="Arial" w:hint="default"/>
                <w:sz w:val="24"/>
              </w:rPr>
              <w:t>梁</w:t>
            </w:r>
            <w:r>
              <w:rPr>
                <w:rStyle w:val="font21"/>
                <w:rFonts w:ascii="仿宋_GB2312" w:eastAsia="仿宋_GB2312" w:cs="Arial" w:hint="default"/>
                <w:sz w:val="24"/>
              </w:rPr>
              <w:t xml:space="preserve"> </w:t>
            </w:r>
            <w:r>
              <w:rPr>
                <w:rStyle w:val="font21"/>
                <w:rFonts w:ascii="仿宋_GB2312" w:eastAsia="仿宋_GB2312" w:cs="Arial" w:hint="default"/>
                <w:sz w:val="24"/>
              </w:rPr>
              <w:t>辛</w:t>
            </w:r>
          </w:p>
        </w:tc>
        <w:tc>
          <w:tcPr>
            <w:tcW w:w="899" w:type="pct"/>
            <w:tcBorders>
              <w:top w:val="single" w:sz="4" w:space="0" w:color="auto"/>
              <w:bottom w:val="single" w:sz="4" w:space="0" w:color="auto"/>
            </w:tcBorders>
            <w:vAlign w:val="center"/>
          </w:tcPr>
          <w:p w:rsidR="009958E1" w:rsidRDefault="00CF4061">
            <w:pPr>
              <w:ind w:firstLineChars="0" w:firstLine="0"/>
              <w:jc w:val="center"/>
              <w:rPr>
                <w:rFonts w:ascii="仿宋_GB2312" w:hAnsi="宋体" w:cs="Arial"/>
                <w:color w:val="000000"/>
                <w:sz w:val="24"/>
              </w:rPr>
            </w:pPr>
            <w:r>
              <w:rPr>
                <w:rStyle w:val="font21"/>
                <w:rFonts w:ascii="仿宋_GB2312" w:eastAsia="仿宋_GB2312" w:cs="Arial" w:hint="default"/>
                <w:sz w:val="24"/>
              </w:rPr>
              <w:t>研究员</w:t>
            </w:r>
          </w:p>
        </w:tc>
        <w:tc>
          <w:tcPr>
            <w:tcW w:w="1023" w:type="pct"/>
            <w:tcBorders>
              <w:top w:val="single" w:sz="4" w:space="0" w:color="auto"/>
              <w:bottom w:val="single" w:sz="4" w:space="0" w:color="auto"/>
            </w:tcBorders>
            <w:vAlign w:val="center"/>
          </w:tcPr>
          <w:p w:rsidR="009958E1" w:rsidRDefault="00CF4061">
            <w:pPr>
              <w:ind w:firstLineChars="0" w:firstLine="0"/>
              <w:jc w:val="center"/>
              <w:rPr>
                <w:rFonts w:ascii="仿宋_GB2312" w:hAnsi="宋体" w:cs="Arial"/>
                <w:color w:val="000000"/>
                <w:sz w:val="24"/>
              </w:rPr>
            </w:pPr>
            <w:r>
              <w:rPr>
                <w:rStyle w:val="font21"/>
                <w:rFonts w:ascii="仿宋_GB2312" w:eastAsia="仿宋_GB2312" w:cs="Arial" w:hint="default"/>
                <w:sz w:val="24"/>
              </w:rPr>
              <w:t>广西壮族自治区水牛研究所</w:t>
            </w:r>
          </w:p>
        </w:tc>
        <w:tc>
          <w:tcPr>
            <w:tcW w:w="2324" w:type="pct"/>
            <w:tcBorders>
              <w:top w:val="single" w:sz="4" w:space="0" w:color="auto"/>
              <w:bottom w:val="single" w:sz="4" w:space="0" w:color="auto"/>
              <w:right w:val="single" w:sz="4" w:space="0" w:color="auto"/>
            </w:tcBorders>
            <w:vAlign w:val="center"/>
          </w:tcPr>
          <w:p w:rsidR="009958E1" w:rsidRDefault="00CF4061">
            <w:pPr>
              <w:ind w:firstLineChars="0" w:firstLine="0"/>
              <w:rPr>
                <w:rFonts w:ascii="仿宋_GB2312" w:hAnsi="宋体" w:cs="Arial"/>
                <w:color w:val="000000"/>
                <w:sz w:val="24"/>
              </w:rPr>
            </w:pPr>
            <w:r>
              <w:rPr>
                <w:rStyle w:val="font21"/>
                <w:rFonts w:ascii="仿宋_GB2312" w:eastAsia="仿宋_GB2312" w:cs="Arial" w:hint="default"/>
                <w:sz w:val="24"/>
              </w:rPr>
              <w:t>对标准实施情况进行总结分析，不断对团体标准提出修正意见。</w:t>
            </w:r>
          </w:p>
        </w:tc>
      </w:tr>
      <w:tr w:rsidR="009958E1">
        <w:trPr>
          <w:trHeight w:val="450"/>
        </w:trPr>
        <w:tc>
          <w:tcPr>
            <w:tcW w:w="754" w:type="pct"/>
            <w:tcBorders>
              <w:top w:val="single" w:sz="4" w:space="0" w:color="auto"/>
              <w:left w:val="single" w:sz="4" w:space="0" w:color="auto"/>
              <w:bottom w:val="single" w:sz="4" w:space="0" w:color="auto"/>
            </w:tcBorders>
            <w:vAlign w:val="center"/>
          </w:tcPr>
          <w:p w:rsidR="009958E1" w:rsidRDefault="00CF4061">
            <w:pPr>
              <w:ind w:firstLineChars="0" w:firstLine="0"/>
              <w:jc w:val="center"/>
              <w:rPr>
                <w:rStyle w:val="font21"/>
                <w:rFonts w:ascii="仿宋_GB2312" w:eastAsia="仿宋_GB2312" w:cs="Arial" w:hint="default"/>
                <w:sz w:val="24"/>
              </w:rPr>
            </w:pPr>
            <w:r>
              <w:rPr>
                <w:rStyle w:val="font21"/>
                <w:rFonts w:ascii="仿宋_GB2312" w:eastAsia="仿宋_GB2312" w:cs="Arial" w:hint="default"/>
                <w:sz w:val="24"/>
              </w:rPr>
              <w:t>高会江</w:t>
            </w:r>
          </w:p>
        </w:tc>
        <w:tc>
          <w:tcPr>
            <w:tcW w:w="899" w:type="pct"/>
            <w:tcBorders>
              <w:top w:val="single" w:sz="4" w:space="0" w:color="auto"/>
              <w:bottom w:val="single" w:sz="4" w:space="0" w:color="auto"/>
            </w:tcBorders>
            <w:vAlign w:val="center"/>
          </w:tcPr>
          <w:p w:rsidR="009958E1" w:rsidRDefault="00CF4061">
            <w:pPr>
              <w:ind w:firstLineChars="0" w:firstLine="0"/>
              <w:jc w:val="center"/>
              <w:rPr>
                <w:rStyle w:val="font21"/>
                <w:rFonts w:ascii="仿宋_GB2312" w:eastAsia="仿宋_GB2312" w:cs="Arial" w:hint="default"/>
                <w:sz w:val="24"/>
              </w:rPr>
            </w:pPr>
            <w:r>
              <w:rPr>
                <w:rStyle w:val="font21"/>
                <w:rFonts w:ascii="仿宋_GB2312" w:eastAsia="仿宋_GB2312" w:cs="Arial" w:hint="default"/>
                <w:sz w:val="24"/>
              </w:rPr>
              <w:t>研究员</w:t>
            </w:r>
          </w:p>
        </w:tc>
        <w:tc>
          <w:tcPr>
            <w:tcW w:w="1023" w:type="pct"/>
            <w:tcBorders>
              <w:top w:val="single" w:sz="4" w:space="0" w:color="auto"/>
              <w:bottom w:val="single" w:sz="4" w:space="0" w:color="auto"/>
            </w:tcBorders>
            <w:vAlign w:val="center"/>
          </w:tcPr>
          <w:p w:rsidR="009958E1" w:rsidRDefault="00F75B80">
            <w:pPr>
              <w:ind w:firstLineChars="0" w:firstLine="0"/>
              <w:jc w:val="center"/>
              <w:rPr>
                <w:rStyle w:val="font21"/>
                <w:rFonts w:ascii="仿宋_GB2312" w:eastAsia="仿宋_GB2312" w:cs="Arial" w:hint="default"/>
                <w:sz w:val="24"/>
              </w:rPr>
            </w:pPr>
            <w:r w:rsidRPr="00F75B80">
              <w:rPr>
                <w:rStyle w:val="font21"/>
                <w:rFonts w:ascii="仿宋_GB2312" w:eastAsia="仿宋_GB2312" w:cs="Arial"/>
                <w:sz w:val="24"/>
              </w:rPr>
              <w:t>中国农业科学院北京畜牧兽医研究所</w:t>
            </w:r>
          </w:p>
        </w:tc>
        <w:tc>
          <w:tcPr>
            <w:tcW w:w="2324" w:type="pct"/>
            <w:tcBorders>
              <w:top w:val="single" w:sz="4" w:space="0" w:color="auto"/>
              <w:bottom w:val="single" w:sz="4" w:space="0" w:color="auto"/>
              <w:right w:val="single" w:sz="4" w:space="0" w:color="auto"/>
            </w:tcBorders>
            <w:vAlign w:val="center"/>
          </w:tcPr>
          <w:p w:rsidR="009958E1" w:rsidRDefault="00CF4061">
            <w:pPr>
              <w:ind w:firstLineChars="0" w:firstLine="0"/>
              <w:rPr>
                <w:rFonts w:ascii="仿宋_GB2312" w:hAnsi="宋体" w:cs="Arial"/>
                <w:color w:val="000000"/>
                <w:sz w:val="24"/>
              </w:rPr>
            </w:pPr>
            <w:r>
              <w:rPr>
                <w:rStyle w:val="font21"/>
                <w:rFonts w:ascii="仿宋_GB2312" w:eastAsia="仿宋_GB2312" w:cs="Arial" w:hint="default"/>
                <w:sz w:val="24"/>
              </w:rPr>
              <w:t>对标准实施情况进行总结分析，不断对团体标准提</w:t>
            </w:r>
            <w:bookmarkStart w:id="0" w:name="_GoBack"/>
            <w:bookmarkEnd w:id="0"/>
            <w:r>
              <w:rPr>
                <w:rStyle w:val="font21"/>
                <w:rFonts w:ascii="仿宋_GB2312" w:eastAsia="仿宋_GB2312" w:cs="Arial" w:hint="default"/>
                <w:sz w:val="24"/>
              </w:rPr>
              <w:t>出修正意见。</w:t>
            </w:r>
          </w:p>
        </w:tc>
      </w:tr>
      <w:tr w:rsidR="009958E1">
        <w:trPr>
          <w:trHeight w:val="450"/>
        </w:trPr>
        <w:tc>
          <w:tcPr>
            <w:tcW w:w="754" w:type="pct"/>
            <w:tcBorders>
              <w:top w:val="single" w:sz="4" w:space="0" w:color="auto"/>
              <w:left w:val="single" w:sz="4" w:space="0" w:color="auto"/>
              <w:bottom w:val="single" w:sz="4" w:space="0" w:color="auto"/>
            </w:tcBorders>
            <w:vAlign w:val="center"/>
          </w:tcPr>
          <w:p w:rsidR="009958E1" w:rsidRDefault="00CF4061">
            <w:pPr>
              <w:ind w:firstLineChars="0" w:firstLine="0"/>
              <w:jc w:val="center"/>
              <w:rPr>
                <w:rFonts w:ascii="仿宋_GB2312" w:hAnsi="宋体" w:cs="Arial"/>
                <w:color w:val="000000"/>
                <w:sz w:val="24"/>
              </w:rPr>
            </w:pPr>
            <w:r>
              <w:rPr>
                <w:rStyle w:val="font21"/>
                <w:rFonts w:ascii="仿宋_GB2312" w:eastAsia="仿宋_GB2312" w:cs="Arial" w:hint="default"/>
                <w:sz w:val="24"/>
              </w:rPr>
              <w:t>黄露婷</w:t>
            </w:r>
          </w:p>
        </w:tc>
        <w:tc>
          <w:tcPr>
            <w:tcW w:w="899" w:type="pct"/>
            <w:tcBorders>
              <w:top w:val="single" w:sz="4" w:space="0" w:color="auto"/>
              <w:bottom w:val="single" w:sz="4" w:space="0" w:color="auto"/>
            </w:tcBorders>
            <w:vAlign w:val="center"/>
          </w:tcPr>
          <w:p w:rsidR="009958E1" w:rsidRDefault="00CF4061">
            <w:pPr>
              <w:ind w:firstLineChars="0" w:firstLine="0"/>
              <w:jc w:val="center"/>
              <w:rPr>
                <w:rFonts w:ascii="仿宋_GB2312" w:hAnsi="宋体" w:cs="Arial"/>
                <w:color w:val="000000"/>
                <w:sz w:val="24"/>
              </w:rPr>
            </w:pPr>
            <w:r>
              <w:rPr>
                <w:rStyle w:val="font21"/>
                <w:rFonts w:ascii="仿宋_GB2312" w:eastAsia="仿宋_GB2312" w:cs="Arial" w:hint="default"/>
                <w:sz w:val="24"/>
              </w:rPr>
              <w:t>/</w:t>
            </w:r>
          </w:p>
        </w:tc>
        <w:tc>
          <w:tcPr>
            <w:tcW w:w="1023" w:type="pct"/>
            <w:tcBorders>
              <w:top w:val="single" w:sz="4" w:space="0" w:color="auto"/>
              <w:bottom w:val="single" w:sz="4" w:space="0" w:color="auto"/>
            </w:tcBorders>
            <w:vAlign w:val="center"/>
          </w:tcPr>
          <w:p w:rsidR="009958E1" w:rsidRDefault="00CF4061">
            <w:pPr>
              <w:ind w:firstLineChars="0" w:firstLine="0"/>
              <w:jc w:val="center"/>
              <w:rPr>
                <w:rFonts w:ascii="仿宋_GB2312" w:hAnsi="宋体" w:cs="Arial"/>
                <w:color w:val="000000"/>
                <w:sz w:val="24"/>
              </w:rPr>
            </w:pPr>
            <w:r>
              <w:rPr>
                <w:rStyle w:val="font21"/>
                <w:rFonts w:ascii="仿宋_GB2312" w:eastAsia="仿宋_GB2312" w:cs="Arial" w:hint="default"/>
                <w:sz w:val="24"/>
              </w:rPr>
              <w:t>广西壮族自治区水牛研究所</w:t>
            </w:r>
          </w:p>
        </w:tc>
        <w:tc>
          <w:tcPr>
            <w:tcW w:w="2324" w:type="pct"/>
            <w:tcBorders>
              <w:top w:val="single" w:sz="4" w:space="0" w:color="auto"/>
              <w:bottom w:val="single" w:sz="4" w:space="0" w:color="auto"/>
              <w:right w:val="single" w:sz="4" w:space="0" w:color="auto"/>
            </w:tcBorders>
            <w:vAlign w:val="center"/>
          </w:tcPr>
          <w:p w:rsidR="009958E1" w:rsidRDefault="00CF4061">
            <w:pPr>
              <w:ind w:firstLineChars="0" w:firstLine="0"/>
              <w:rPr>
                <w:rFonts w:ascii="仿宋_GB2312" w:hAnsi="宋体" w:cs="Arial"/>
                <w:color w:val="000000"/>
                <w:sz w:val="24"/>
              </w:rPr>
            </w:pPr>
            <w:r>
              <w:rPr>
                <w:rStyle w:val="font21"/>
                <w:rFonts w:ascii="仿宋_GB2312" w:eastAsia="仿宋_GB2312" w:cs="Arial" w:hint="default"/>
                <w:sz w:val="24"/>
              </w:rPr>
              <w:t>对标准实施情况进行总结分析，不断对团体标准提出修正意见。</w:t>
            </w:r>
          </w:p>
        </w:tc>
      </w:tr>
      <w:tr w:rsidR="009958E1">
        <w:trPr>
          <w:trHeight w:val="450"/>
        </w:trPr>
        <w:tc>
          <w:tcPr>
            <w:tcW w:w="754" w:type="pct"/>
            <w:tcBorders>
              <w:top w:val="single" w:sz="4" w:space="0" w:color="auto"/>
              <w:left w:val="single" w:sz="4" w:space="0" w:color="auto"/>
              <w:bottom w:val="single" w:sz="4" w:space="0" w:color="auto"/>
            </w:tcBorders>
            <w:vAlign w:val="center"/>
          </w:tcPr>
          <w:p w:rsidR="009958E1" w:rsidRDefault="00CF4061">
            <w:pPr>
              <w:ind w:firstLineChars="0" w:firstLine="0"/>
              <w:jc w:val="center"/>
              <w:rPr>
                <w:rStyle w:val="font21"/>
                <w:rFonts w:ascii="仿宋_GB2312" w:eastAsia="仿宋_GB2312" w:cs="Arial" w:hint="default"/>
                <w:sz w:val="24"/>
              </w:rPr>
            </w:pPr>
            <w:r>
              <w:rPr>
                <w:rStyle w:val="font21"/>
                <w:rFonts w:ascii="仿宋_GB2312" w:eastAsia="仿宋_GB2312" w:cs="Arial" w:hint="default"/>
                <w:sz w:val="24"/>
              </w:rPr>
              <w:t>罗华东</w:t>
            </w:r>
          </w:p>
        </w:tc>
        <w:tc>
          <w:tcPr>
            <w:tcW w:w="899" w:type="pct"/>
            <w:tcBorders>
              <w:top w:val="single" w:sz="4" w:space="0" w:color="auto"/>
              <w:bottom w:val="single" w:sz="4" w:space="0" w:color="auto"/>
            </w:tcBorders>
            <w:vAlign w:val="center"/>
          </w:tcPr>
          <w:p w:rsidR="009958E1" w:rsidRDefault="00CF4061">
            <w:pPr>
              <w:ind w:firstLineChars="0" w:firstLine="0"/>
              <w:jc w:val="center"/>
              <w:rPr>
                <w:rStyle w:val="font21"/>
                <w:rFonts w:ascii="仿宋_GB2312" w:eastAsia="仿宋_GB2312" w:cs="Arial" w:hint="default"/>
                <w:sz w:val="24"/>
              </w:rPr>
            </w:pPr>
            <w:r>
              <w:rPr>
                <w:rStyle w:val="font21"/>
                <w:rFonts w:ascii="仿宋_GB2312" w:eastAsia="仿宋_GB2312" w:cs="Arial" w:hint="default"/>
                <w:sz w:val="24"/>
              </w:rPr>
              <w:t>/</w:t>
            </w:r>
          </w:p>
        </w:tc>
        <w:tc>
          <w:tcPr>
            <w:tcW w:w="1023" w:type="pct"/>
            <w:tcBorders>
              <w:top w:val="single" w:sz="4" w:space="0" w:color="auto"/>
              <w:bottom w:val="single" w:sz="4" w:space="0" w:color="auto"/>
            </w:tcBorders>
            <w:vAlign w:val="center"/>
          </w:tcPr>
          <w:p w:rsidR="009958E1" w:rsidRDefault="00CF4061">
            <w:pPr>
              <w:ind w:firstLineChars="0" w:firstLine="0"/>
              <w:jc w:val="center"/>
              <w:rPr>
                <w:rStyle w:val="font21"/>
                <w:rFonts w:ascii="仿宋_GB2312" w:eastAsia="仿宋_GB2312" w:cs="Arial" w:hint="default"/>
                <w:sz w:val="24"/>
              </w:rPr>
            </w:pPr>
            <w:r>
              <w:rPr>
                <w:rStyle w:val="font21"/>
                <w:rFonts w:ascii="仿宋_GB2312" w:eastAsia="仿宋_GB2312" w:cs="Arial" w:hint="default"/>
                <w:sz w:val="24"/>
              </w:rPr>
              <w:t>广西大学</w:t>
            </w:r>
          </w:p>
        </w:tc>
        <w:tc>
          <w:tcPr>
            <w:tcW w:w="2324" w:type="pct"/>
            <w:tcBorders>
              <w:top w:val="single" w:sz="4" w:space="0" w:color="auto"/>
              <w:bottom w:val="single" w:sz="4" w:space="0" w:color="auto"/>
              <w:right w:val="single" w:sz="4" w:space="0" w:color="auto"/>
            </w:tcBorders>
            <w:vAlign w:val="center"/>
          </w:tcPr>
          <w:p w:rsidR="009958E1" w:rsidRDefault="00CF4061">
            <w:pPr>
              <w:ind w:firstLineChars="0" w:firstLine="0"/>
              <w:rPr>
                <w:rStyle w:val="font21"/>
                <w:rFonts w:ascii="仿宋_GB2312" w:eastAsia="仿宋_GB2312" w:cs="Arial" w:hint="default"/>
                <w:sz w:val="24"/>
              </w:rPr>
            </w:pPr>
            <w:r>
              <w:rPr>
                <w:rStyle w:val="font21"/>
                <w:rFonts w:ascii="仿宋_GB2312" w:eastAsia="仿宋_GB2312" w:cs="Arial" w:hint="default"/>
                <w:sz w:val="24"/>
              </w:rPr>
              <w:t>对标准实施情况进行总结分析，不断对团体标准提出修正意见。</w:t>
            </w:r>
          </w:p>
        </w:tc>
      </w:tr>
      <w:tr w:rsidR="009958E1">
        <w:trPr>
          <w:trHeight w:val="450"/>
        </w:trPr>
        <w:tc>
          <w:tcPr>
            <w:tcW w:w="754" w:type="pct"/>
            <w:tcBorders>
              <w:top w:val="single" w:sz="4" w:space="0" w:color="auto"/>
              <w:left w:val="single" w:sz="4" w:space="0" w:color="auto"/>
              <w:bottom w:val="single" w:sz="4" w:space="0" w:color="auto"/>
            </w:tcBorders>
            <w:vAlign w:val="center"/>
          </w:tcPr>
          <w:p w:rsidR="009958E1" w:rsidRDefault="00CF4061">
            <w:pPr>
              <w:ind w:firstLineChars="0" w:firstLine="0"/>
              <w:jc w:val="center"/>
              <w:rPr>
                <w:rStyle w:val="font21"/>
                <w:rFonts w:ascii="仿宋_GB2312" w:eastAsia="仿宋_GB2312" w:cs="Arial" w:hint="default"/>
                <w:sz w:val="24"/>
              </w:rPr>
            </w:pPr>
            <w:r>
              <w:rPr>
                <w:rStyle w:val="font21"/>
                <w:rFonts w:ascii="仿宋_GB2312" w:eastAsia="仿宋_GB2312" w:cs="Arial" w:hint="default"/>
                <w:sz w:val="24"/>
              </w:rPr>
              <w:t>梁煜阳</w:t>
            </w:r>
          </w:p>
        </w:tc>
        <w:tc>
          <w:tcPr>
            <w:tcW w:w="899" w:type="pct"/>
            <w:tcBorders>
              <w:top w:val="single" w:sz="4" w:space="0" w:color="auto"/>
              <w:bottom w:val="single" w:sz="4" w:space="0" w:color="auto"/>
            </w:tcBorders>
            <w:vAlign w:val="center"/>
          </w:tcPr>
          <w:p w:rsidR="009958E1" w:rsidRDefault="00CF4061">
            <w:pPr>
              <w:ind w:firstLineChars="0" w:firstLine="0"/>
              <w:jc w:val="center"/>
              <w:rPr>
                <w:rStyle w:val="font21"/>
                <w:rFonts w:ascii="仿宋_GB2312" w:eastAsia="仿宋_GB2312" w:cs="Arial" w:hint="default"/>
                <w:sz w:val="24"/>
              </w:rPr>
            </w:pPr>
            <w:r>
              <w:rPr>
                <w:rStyle w:val="font21"/>
                <w:rFonts w:ascii="仿宋_GB2312" w:eastAsia="仿宋_GB2312" w:cs="Arial" w:hint="default"/>
                <w:sz w:val="24"/>
              </w:rPr>
              <w:t>/</w:t>
            </w:r>
          </w:p>
        </w:tc>
        <w:tc>
          <w:tcPr>
            <w:tcW w:w="1023" w:type="pct"/>
            <w:tcBorders>
              <w:top w:val="single" w:sz="4" w:space="0" w:color="auto"/>
              <w:bottom w:val="single" w:sz="4" w:space="0" w:color="auto"/>
            </w:tcBorders>
            <w:vAlign w:val="center"/>
          </w:tcPr>
          <w:p w:rsidR="009958E1" w:rsidRDefault="00CF4061">
            <w:pPr>
              <w:ind w:firstLineChars="0" w:firstLine="0"/>
              <w:jc w:val="center"/>
              <w:rPr>
                <w:rStyle w:val="font21"/>
                <w:rFonts w:ascii="仿宋_GB2312" w:eastAsia="仿宋_GB2312" w:cs="Arial" w:hint="default"/>
                <w:sz w:val="24"/>
              </w:rPr>
            </w:pPr>
            <w:r>
              <w:rPr>
                <w:rStyle w:val="font21"/>
                <w:rFonts w:ascii="仿宋_GB2312" w:eastAsia="仿宋_GB2312" w:cs="Arial" w:hint="default"/>
                <w:sz w:val="24"/>
              </w:rPr>
              <w:t>广西大学</w:t>
            </w:r>
          </w:p>
        </w:tc>
        <w:tc>
          <w:tcPr>
            <w:tcW w:w="2324" w:type="pct"/>
            <w:tcBorders>
              <w:top w:val="single" w:sz="4" w:space="0" w:color="auto"/>
              <w:bottom w:val="single" w:sz="4" w:space="0" w:color="auto"/>
              <w:right w:val="single" w:sz="4" w:space="0" w:color="auto"/>
            </w:tcBorders>
            <w:vAlign w:val="center"/>
          </w:tcPr>
          <w:p w:rsidR="009958E1" w:rsidRDefault="00CF4061">
            <w:pPr>
              <w:ind w:firstLineChars="0" w:firstLine="0"/>
              <w:rPr>
                <w:rStyle w:val="font21"/>
                <w:rFonts w:ascii="仿宋_GB2312" w:eastAsia="仿宋_GB2312" w:cs="Arial" w:hint="default"/>
                <w:sz w:val="24"/>
              </w:rPr>
            </w:pPr>
            <w:r>
              <w:rPr>
                <w:rStyle w:val="font21"/>
                <w:rFonts w:ascii="仿宋_GB2312" w:eastAsia="仿宋_GB2312" w:cs="Arial" w:hint="default"/>
                <w:sz w:val="24"/>
              </w:rPr>
              <w:t>对标准实施情况进行总结分析，不断对团体标准提出修正意见。</w:t>
            </w:r>
          </w:p>
        </w:tc>
      </w:tr>
      <w:tr w:rsidR="009958E1">
        <w:trPr>
          <w:trHeight w:val="450"/>
        </w:trPr>
        <w:tc>
          <w:tcPr>
            <w:tcW w:w="754" w:type="pct"/>
            <w:tcBorders>
              <w:top w:val="single" w:sz="4" w:space="0" w:color="auto"/>
              <w:left w:val="single" w:sz="4" w:space="0" w:color="auto"/>
              <w:bottom w:val="single" w:sz="4" w:space="0" w:color="auto"/>
            </w:tcBorders>
            <w:vAlign w:val="center"/>
          </w:tcPr>
          <w:p w:rsidR="009958E1" w:rsidRDefault="00CF4061">
            <w:pPr>
              <w:ind w:firstLineChars="0" w:firstLine="0"/>
              <w:jc w:val="center"/>
              <w:rPr>
                <w:rStyle w:val="font21"/>
                <w:rFonts w:ascii="仿宋_GB2312" w:eastAsia="仿宋_GB2312" w:cs="Arial" w:hint="default"/>
                <w:sz w:val="24"/>
              </w:rPr>
            </w:pPr>
            <w:r>
              <w:rPr>
                <w:rStyle w:val="font21"/>
                <w:rFonts w:ascii="仿宋_GB2312" w:eastAsia="仿宋_GB2312" w:cs="Arial" w:hint="default"/>
                <w:sz w:val="24"/>
              </w:rPr>
              <w:t>颜志林</w:t>
            </w:r>
          </w:p>
        </w:tc>
        <w:tc>
          <w:tcPr>
            <w:tcW w:w="899" w:type="pct"/>
            <w:tcBorders>
              <w:top w:val="single" w:sz="4" w:space="0" w:color="auto"/>
              <w:bottom w:val="single" w:sz="4" w:space="0" w:color="auto"/>
            </w:tcBorders>
            <w:vAlign w:val="center"/>
          </w:tcPr>
          <w:p w:rsidR="009958E1" w:rsidRDefault="00CF4061">
            <w:pPr>
              <w:ind w:firstLineChars="0" w:firstLine="0"/>
              <w:jc w:val="center"/>
              <w:rPr>
                <w:rStyle w:val="font21"/>
                <w:rFonts w:ascii="仿宋_GB2312" w:eastAsia="仿宋_GB2312" w:cs="Arial" w:hint="default"/>
                <w:sz w:val="24"/>
              </w:rPr>
            </w:pPr>
            <w:r>
              <w:rPr>
                <w:rStyle w:val="font21"/>
                <w:rFonts w:ascii="仿宋_GB2312" w:eastAsia="仿宋_GB2312" w:cs="Arial" w:hint="default"/>
                <w:sz w:val="24"/>
              </w:rPr>
              <w:t>/</w:t>
            </w:r>
          </w:p>
        </w:tc>
        <w:tc>
          <w:tcPr>
            <w:tcW w:w="1023" w:type="pct"/>
            <w:tcBorders>
              <w:top w:val="single" w:sz="4" w:space="0" w:color="auto"/>
              <w:bottom w:val="single" w:sz="4" w:space="0" w:color="auto"/>
            </w:tcBorders>
            <w:vAlign w:val="center"/>
          </w:tcPr>
          <w:p w:rsidR="009958E1" w:rsidRDefault="00CF4061">
            <w:pPr>
              <w:ind w:firstLineChars="0" w:firstLine="0"/>
              <w:jc w:val="center"/>
              <w:rPr>
                <w:rStyle w:val="font21"/>
                <w:rFonts w:ascii="仿宋_GB2312" w:eastAsia="仿宋_GB2312" w:cs="Arial" w:hint="default"/>
                <w:sz w:val="24"/>
              </w:rPr>
            </w:pPr>
            <w:r>
              <w:rPr>
                <w:rStyle w:val="font21"/>
                <w:rFonts w:ascii="仿宋_GB2312" w:eastAsia="仿宋_GB2312" w:cs="Arial" w:hint="default"/>
                <w:sz w:val="24"/>
              </w:rPr>
              <w:t>广西大学</w:t>
            </w:r>
          </w:p>
        </w:tc>
        <w:tc>
          <w:tcPr>
            <w:tcW w:w="2324" w:type="pct"/>
            <w:tcBorders>
              <w:top w:val="single" w:sz="4" w:space="0" w:color="auto"/>
              <w:bottom w:val="single" w:sz="4" w:space="0" w:color="auto"/>
              <w:right w:val="single" w:sz="4" w:space="0" w:color="auto"/>
            </w:tcBorders>
            <w:vAlign w:val="center"/>
          </w:tcPr>
          <w:p w:rsidR="009958E1" w:rsidRDefault="00CF4061">
            <w:pPr>
              <w:ind w:firstLineChars="0" w:firstLine="0"/>
              <w:rPr>
                <w:rFonts w:ascii="仿宋_GB2312" w:hAnsi="宋体" w:cs="Arial"/>
                <w:color w:val="000000"/>
                <w:sz w:val="24"/>
              </w:rPr>
            </w:pPr>
            <w:r>
              <w:rPr>
                <w:rStyle w:val="font21"/>
                <w:rFonts w:ascii="仿宋_GB2312" w:eastAsia="仿宋_GB2312" w:cs="Arial" w:hint="default"/>
                <w:sz w:val="24"/>
              </w:rPr>
              <w:t>对标准实施情况进行总结分析，不断对团体标准提出修正意见。</w:t>
            </w:r>
          </w:p>
        </w:tc>
      </w:tr>
      <w:tr w:rsidR="009958E1">
        <w:trPr>
          <w:trHeight w:val="450"/>
        </w:trPr>
        <w:tc>
          <w:tcPr>
            <w:tcW w:w="754" w:type="pct"/>
            <w:tcBorders>
              <w:top w:val="single" w:sz="4" w:space="0" w:color="auto"/>
              <w:left w:val="single" w:sz="4" w:space="0" w:color="auto"/>
              <w:bottom w:val="single" w:sz="4" w:space="0" w:color="auto"/>
            </w:tcBorders>
            <w:vAlign w:val="center"/>
          </w:tcPr>
          <w:p w:rsidR="009958E1" w:rsidRDefault="00CF4061">
            <w:pPr>
              <w:ind w:firstLineChars="0" w:firstLine="0"/>
              <w:jc w:val="center"/>
              <w:rPr>
                <w:rFonts w:ascii="仿宋_GB2312" w:hAnsi="宋体" w:cs="Arial"/>
                <w:color w:val="000000"/>
                <w:sz w:val="24"/>
              </w:rPr>
            </w:pPr>
            <w:r>
              <w:rPr>
                <w:rStyle w:val="font21"/>
                <w:rFonts w:ascii="仿宋_GB2312" w:eastAsia="仿宋_GB2312" w:cs="Arial" w:hint="default"/>
                <w:sz w:val="24"/>
              </w:rPr>
              <w:t>刘敏燕</w:t>
            </w:r>
          </w:p>
        </w:tc>
        <w:tc>
          <w:tcPr>
            <w:tcW w:w="899" w:type="pct"/>
            <w:tcBorders>
              <w:top w:val="single" w:sz="4" w:space="0" w:color="auto"/>
              <w:bottom w:val="single" w:sz="4" w:space="0" w:color="auto"/>
            </w:tcBorders>
            <w:vAlign w:val="center"/>
          </w:tcPr>
          <w:p w:rsidR="009958E1" w:rsidRDefault="00CF4061">
            <w:pPr>
              <w:ind w:firstLineChars="0" w:firstLine="0"/>
              <w:jc w:val="center"/>
              <w:rPr>
                <w:rFonts w:ascii="仿宋_GB2312" w:hAnsi="宋体" w:cs="Arial"/>
                <w:color w:val="000000"/>
                <w:sz w:val="24"/>
              </w:rPr>
            </w:pPr>
            <w:r>
              <w:rPr>
                <w:rStyle w:val="font21"/>
                <w:rFonts w:ascii="仿宋_GB2312" w:eastAsia="仿宋_GB2312" w:cs="Arial" w:hint="default"/>
                <w:sz w:val="24"/>
              </w:rPr>
              <w:t>畜牧师</w:t>
            </w:r>
          </w:p>
        </w:tc>
        <w:tc>
          <w:tcPr>
            <w:tcW w:w="1023" w:type="pct"/>
            <w:tcBorders>
              <w:top w:val="single" w:sz="4" w:space="0" w:color="auto"/>
              <w:bottom w:val="single" w:sz="4" w:space="0" w:color="auto"/>
            </w:tcBorders>
            <w:vAlign w:val="center"/>
          </w:tcPr>
          <w:p w:rsidR="009958E1" w:rsidRDefault="00CF4061">
            <w:pPr>
              <w:ind w:firstLineChars="0" w:firstLine="0"/>
              <w:jc w:val="center"/>
              <w:rPr>
                <w:rFonts w:ascii="仿宋_GB2312" w:hAnsi="宋体" w:cs="Arial"/>
                <w:color w:val="000000"/>
                <w:sz w:val="24"/>
              </w:rPr>
            </w:pPr>
            <w:r>
              <w:rPr>
                <w:rStyle w:val="font21"/>
                <w:rFonts w:ascii="仿宋_GB2312" w:eastAsia="仿宋_GB2312" w:cs="Arial" w:hint="default"/>
                <w:sz w:val="24"/>
              </w:rPr>
              <w:t>广西壮族自治区畜禽品种改良站</w:t>
            </w:r>
          </w:p>
        </w:tc>
        <w:tc>
          <w:tcPr>
            <w:tcW w:w="2324" w:type="pct"/>
            <w:tcBorders>
              <w:top w:val="single" w:sz="4" w:space="0" w:color="auto"/>
              <w:bottom w:val="single" w:sz="4" w:space="0" w:color="auto"/>
              <w:right w:val="single" w:sz="4" w:space="0" w:color="auto"/>
            </w:tcBorders>
            <w:vAlign w:val="center"/>
          </w:tcPr>
          <w:p w:rsidR="009958E1" w:rsidRDefault="00CF4061">
            <w:pPr>
              <w:ind w:firstLineChars="0" w:firstLine="0"/>
              <w:rPr>
                <w:rFonts w:ascii="仿宋_GB2312" w:hAnsi="宋体" w:cs="Arial"/>
                <w:color w:val="000000"/>
                <w:sz w:val="24"/>
              </w:rPr>
            </w:pPr>
            <w:r>
              <w:rPr>
                <w:rStyle w:val="font21"/>
                <w:rFonts w:ascii="仿宋_GB2312" w:eastAsia="仿宋_GB2312" w:cs="Arial" w:hint="default"/>
                <w:sz w:val="24"/>
              </w:rPr>
              <w:t>标准发布后的宣贯培训，对标准进行详细解读。</w:t>
            </w:r>
          </w:p>
        </w:tc>
      </w:tr>
      <w:tr w:rsidR="009958E1">
        <w:trPr>
          <w:trHeight w:val="450"/>
        </w:trPr>
        <w:tc>
          <w:tcPr>
            <w:tcW w:w="754" w:type="pct"/>
            <w:tcBorders>
              <w:top w:val="single" w:sz="4" w:space="0" w:color="auto"/>
              <w:left w:val="single" w:sz="4" w:space="0" w:color="auto"/>
              <w:bottom w:val="single" w:sz="4" w:space="0" w:color="auto"/>
            </w:tcBorders>
            <w:vAlign w:val="center"/>
          </w:tcPr>
          <w:p w:rsidR="009958E1" w:rsidRDefault="00CF4061">
            <w:pPr>
              <w:ind w:firstLineChars="0" w:firstLine="0"/>
              <w:jc w:val="center"/>
              <w:rPr>
                <w:rFonts w:ascii="仿宋_GB2312" w:hAnsi="宋体" w:cs="Arial"/>
                <w:color w:val="000000"/>
                <w:sz w:val="24"/>
              </w:rPr>
            </w:pPr>
            <w:r>
              <w:rPr>
                <w:rStyle w:val="font21"/>
                <w:rFonts w:ascii="仿宋_GB2312" w:eastAsia="仿宋_GB2312" w:cs="Arial" w:hint="default"/>
                <w:sz w:val="24"/>
              </w:rPr>
              <w:t>苏凤晴</w:t>
            </w:r>
          </w:p>
        </w:tc>
        <w:tc>
          <w:tcPr>
            <w:tcW w:w="899" w:type="pct"/>
            <w:tcBorders>
              <w:top w:val="single" w:sz="4" w:space="0" w:color="auto"/>
              <w:bottom w:val="single" w:sz="4" w:space="0" w:color="auto"/>
            </w:tcBorders>
            <w:vAlign w:val="center"/>
          </w:tcPr>
          <w:p w:rsidR="009958E1" w:rsidRDefault="00CF4061">
            <w:pPr>
              <w:ind w:firstLineChars="0" w:firstLine="0"/>
              <w:jc w:val="center"/>
              <w:rPr>
                <w:rFonts w:ascii="仿宋_GB2312" w:hAnsi="宋体" w:cs="Arial"/>
                <w:color w:val="000000"/>
                <w:sz w:val="24"/>
              </w:rPr>
            </w:pPr>
            <w:r>
              <w:rPr>
                <w:rStyle w:val="font21"/>
                <w:rFonts w:ascii="仿宋_GB2312" w:eastAsia="仿宋_GB2312" w:cs="Arial" w:hint="default"/>
                <w:sz w:val="24"/>
              </w:rPr>
              <w:t>兽医师</w:t>
            </w:r>
          </w:p>
        </w:tc>
        <w:tc>
          <w:tcPr>
            <w:tcW w:w="1023" w:type="pct"/>
            <w:tcBorders>
              <w:top w:val="single" w:sz="4" w:space="0" w:color="auto"/>
              <w:bottom w:val="single" w:sz="4" w:space="0" w:color="auto"/>
            </w:tcBorders>
            <w:vAlign w:val="center"/>
          </w:tcPr>
          <w:p w:rsidR="009958E1" w:rsidRDefault="00CF4061">
            <w:pPr>
              <w:ind w:firstLineChars="0" w:firstLine="0"/>
              <w:jc w:val="center"/>
              <w:rPr>
                <w:rFonts w:ascii="仿宋_GB2312" w:hAnsi="宋体" w:cs="Arial"/>
                <w:color w:val="000000"/>
                <w:sz w:val="24"/>
              </w:rPr>
            </w:pPr>
            <w:r>
              <w:rPr>
                <w:rStyle w:val="font21"/>
                <w:rFonts w:ascii="仿宋_GB2312" w:eastAsia="仿宋_GB2312" w:cs="Arial" w:hint="default"/>
                <w:sz w:val="24"/>
              </w:rPr>
              <w:t>灵山县畜牧技术服务站</w:t>
            </w:r>
          </w:p>
        </w:tc>
        <w:tc>
          <w:tcPr>
            <w:tcW w:w="2324" w:type="pct"/>
            <w:tcBorders>
              <w:top w:val="single" w:sz="4" w:space="0" w:color="auto"/>
              <w:bottom w:val="single" w:sz="4" w:space="0" w:color="auto"/>
              <w:right w:val="single" w:sz="4" w:space="0" w:color="auto"/>
            </w:tcBorders>
          </w:tcPr>
          <w:p w:rsidR="009958E1" w:rsidRDefault="00CF4061">
            <w:pPr>
              <w:ind w:firstLineChars="0" w:firstLine="0"/>
            </w:pPr>
            <w:r>
              <w:rPr>
                <w:rStyle w:val="font21"/>
                <w:rFonts w:ascii="仿宋_GB2312" w:eastAsia="仿宋_GB2312" w:cs="Arial" w:hint="default"/>
                <w:sz w:val="24"/>
              </w:rPr>
              <w:t>标准发布后的宣贯培训，对标准进行详细解读</w:t>
            </w:r>
          </w:p>
        </w:tc>
      </w:tr>
      <w:tr w:rsidR="009958E1">
        <w:trPr>
          <w:trHeight w:val="450"/>
        </w:trPr>
        <w:tc>
          <w:tcPr>
            <w:tcW w:w="754" w:type="pct"/>
            <w:tcBorders>
              <w:top w:val="single" w:sz="4" w:space="0" w:color="auto"/>
              <w:left w:val="single" w:sz="4" w:space="0" w:color="auto"/>
              <w:bottom w:val="single" w:sz="4" w:space="0" w:color="auto"/>
            </w:tcBorders>
            <w:vAlign w:val="center"/>
          </w:tcPr>
          <w:p w:rsidR="009958E1" w:rsidRDefault="00CF4061">
            <w:pPr>
              <w:ind w:firstLineChars="0" w:firstLine="0"/>
              <w:jc w:val="center"/>
              <w:rPr>
                <w:rStyle w:val="font21"/>
                <w:rFonts w:ascii="仿宋_GB2312" w:eastAsia="仿宋_GB2312" w:cs="Arial" w:hint="default"/>
                <w:sz w:val="24"/>
              </w:rPr>
            </w:pPr>
            <w:r>
              <w:rPr>
                <w:rStyle w:val="font21"/>
                <w:rFonts w:ascii="仿宋_GB2312" w:eastAsia="仿宋_GB2312" w:cs="Arial" w:hint="default"/>
                <w:sz w:val="24"/>
              </w:rPr>
              <w:t>张路培</w:t>
            </w:r>
          </w:p>
        </w:tc>
        <w:tc>
          <w:tcPr>
            <w:tcW w:w="899" w:type="pct"/>
            <w:tcBorders>
              <w:top w:val="single" w:sz="4" w:space="0" w:color="auto"/>
              <w:bottom w:val="single" w:sz="4" w:space="0" w:color="auto"/>
            </w:tcBorders>
            <w:vAlign w:val="center"/>
          </w:tcPr>
          <w:p w:rsidR="009958E1" w:rsidRDefault="00CF4061">
            <w:pPr>
              <w:ind w:firstLineChars="0" w:firstLine="0"/>
              <w:jc w:val="center"/>
              <w:rPr>
                <w:rStyle w:val="font21"/>
                <w:rFonts w:ascii="仿宋_GB2312" w:eastAsia="仿宋_GB2312" w:cs="Arial" w:hint="default"/>
                <w:sz w:val="24"/>
              </w:rPr>
            </w:pPr>
            <w:r>
              <w:rPr>
                <w:rStyle w:val="font21"/>
                <w:rFonts w:ascii="仿宋_GB2312" w:cs="Arial" w:hint="default"/>
                <w:sz w:val="24"/>
              </w:rPr>
              <w:t>研究员</w:t>
            </w:r>
          </w:p>
        </w:tc>
        <w:tc>
          <w:tcPr>
            <w:tcW w:w="1023" w:type="pct"/>
            <w:tcBorders>
              <w:top w:val="single" w:sz="4" w:space="0" w:color="auto"/>
              <w:bottom w:val="single" w:sz="4" w:space="0" w:color="auto"/>
            </w:tcBorders>
            <w:vAlign w:val="center"/>
          </w:tcPr>
          <w:p w:rsidR="009958E1" w:rsidRDefault="00CF4061">
            <w:pPr>
              <w:ind w:firstLineChars="0" w:firstLine="0"/>
              <w:jc w:val="center"/>
              <w:rPr>
                <w:rStyle w:val="font21"/>
                <w:rFonts w:ascii="仿宋_GB2312" w:eastAsia="仿宋_GB2312" w:cs="Arial" w:hint="default"/>
                <w:sz w:val="24"/>
              </w:rPr>
            </w:pPr>
            <w:r>
              <w:rPr>
                <w:rStyle w:val="font21"/>
                <w:rFonts w:ascii="仿宋_GB2312" w:eastAsia="仿宋_GB2312" w:cs="Arial" w:hint="default"/>
                <w:sz w:val="24"/>
              </w:rPr>
              <w:t>北京畜牧兽医研究所</w:t>
            </w:r>
          </w:p>
        </w:tc>
        <w:tc>
          <w:tcPr>
            <w:tcW w:w="2324" w:type="pct"/>
            <w:tcBorders>
              <w:top w:val="single" w:sz="4" w:space="0" w:color="auto"/>
              <w:bottom w:val="single" w:sz="4" w:space="0" w:color="auto"/>
              <w:right w:val="single" w:sz="4" w:space="0" w:color="auto"/>
            </w:tcBorders>
          </w:tcPr>
          <w:p w:rsidR="009958E1" w:rsidRDefault="00CF4061">
            <w:pPr>
              <w:ind w:firstLineChars="0" w:firstLine="0"/>
              <w:rPr>
                <w:rStyle w:val="font21"/>
                <w:rFonts w:ascii="仿宋_GB2312" w:eastAsia="仿宋_GB2312" w:cs="Arial" w:hint="default"/>
                <w:sz w:val="24"/>
              </w:rPr>
            </w:pPr>
            <w:r>
              <w:rPr>
                <w:rStyle w:val="font21"/>
                <w:rFonts w:ascii="仿宋_GB2312" w:eastAsia="仿宋_GB2312" w:cs="Arial" w:hint="default"/>
                <w:sz w:val="24"/>
              </w:rPr>
              <w:t>标准发布后的宣贯培训，对标准进行详细解读</w:t>
            </w:r>
          </w:p>
        </w:tc>
      </w:tr>
      <w:tr w:rsidR="009958E1">
        <w:trPr>
          <w:trHeight w:val="450"/>
        </w:trPr>
        <w:tc>
          <w:tcPr>
            <w:tcW w:w="754" w:type="pct"/>
            <w:tcBorders>
              <w:top w:val="single" w:sz="4" w:space="0" w:color="auto"/>
              <w:left w:val="single" w:sz="4" w:space="0" w:color="auto"/>
              <w:bottom w:val="single" w:sz="4" w:space="0" w:color="auto"/>
            </w:tcBorders>
            <w:vAlign w:val="center"/>
          </w:tcPr>
          <w:p w:rsidR="009958E1" w:rsidRDefault="00CF4061">
            <w:pPr>
              <w:ind w:firstLineChars="0" w:firstLine="0"/>
              <w:jc w:val="center"/>
              <w:rPr>
                <w:rFonts w:ascii="仿宋_GB2312" w:hAnsi="宋体" w:cs="Arial"/>
                <w:color w:val="000000"/>
                <w:sz w:val="24"/>
              </w:rPr>
            </w:pPr>
            <w:r>
              <w:rPr>
                <w:rStyle w:val="font21"/>
                <w:rFonts w:ascii="仿宋_GB2312" w:eastAsia="仿宋_GB2312" w:cs="Arial" w:hint="default"/>
                <w:sz w:val="24"/>
              </w:rPr>
              <w:t>苏乾莲</w:t>
            </w:r>
          </w:p>
        </w:tc>
        <w:tc>
          <w:tcPr>
            <w:tcW w:w="899" w:type="pct"/>
            <w:tcBorders>
              <w:top w:val="single" w:sz="4" w:space="0" w:color="auto"/>
              <w:bottom w:val="single" w:sz="4" w:space="0" w:color="auto"/>
            </w:tcBorders>
            <w:vAlign w:val="center"/>
          </w:tcPr>
          <w:p w:rsidR="009958E1" w:rsidRDefault="00CF4061">
            <w:pPr>
              <w:ind w:firstLineChars="0" w:firstLine="0"/>
              <w:jc w:val="center"/>
              <w:rPr>
                <w:rFonts w:ascii="仿宋_GB2312" w:hAnsi="宋体" w:cs="Arial"/>
                <w:color w:val="000000"/>
                <w:sz w:val="24"/>
              </w:rPr>
            </w:pPr>
            <w:r>
              <w:rPr>
                <w:rStyle w:val="font21"/>
                <w:rFonts w:ascii="仿宋_GB2312" w:eastAsia="仿宋_GB2312" w:cs="Arial" w:hint="default"/>
                <w:sz w:val="24"/>
              </w:rPr>
              <w:t>高级兽医</w:t>
            </w:r>
            <w:r>
              <w:rPr>
                <w:rFonts w:ascii="仿宋_GB2312" w:cs="Arial" w:hint="eastAsia"/>
                <w:color w:val="000000"/>
                <w:sz w:val="24"/>
              </w:rPr>
              <w:br/>
            </w:r>
            <w:r>
              <w:rPr>
                <w:rStyle w:val="font21"/>
                <w:rFonts w:ascii="仿宋_GB2312" w:eastAsia="仿宋_GB2312" w:cs="Arial" w:hint="default"/>
                <w:sz w:val="24"/>
              </w:rPr>
              <w:t>师</w:t>
            </w:r>
          </w:p>
        </w:tc>
        <w:tc>
          <w:tcPr>
            <w:tcW w:w="1023" w:type="pct"/>
            <w:tcBorders>
              <w:top w:val="single" w:sz="4" w:space="0" w:color="auto"/>
              <w:bottom w:val="single" w:sz="4" w:space="0" w:color="auto"/>
            </w:tcBorders>
            <w:vAlign w:val="center"/>
          </w:tcPr>
          <w:p w:rsidR="009958E1" w:rsidRDefault="00CF4061">
            <w:pPr>
              <w:ind w:firstLineChars="0" w:firstLine="0"/>
              <w:jc w:val="center"/>
              <w:rPr>
                <w:rFonts w:ascii="仿宋_GB2312" w:hAnsi="宋体" w:cs="Arial"/>
                <w:color w:val="000000"/>
                <w:sz w:val="24"/>
              </w:rPr>
            </w:pPr>
            <w:r>
              <w:rPr>
                <w:rStyle w:val="font21"/>
                <w:rFonts w:ascii="仿宋_GB2312" w:eastAsia="仿宋_GB2312" w:cs="Arial" w:hint="default"/>
                <w:sz w:val="24"/>
              </w:rPr>
              <w:t>广西农业工程职业技术学院</w:t>
            </w:r>
          </w:p>
        </w:tc>
        <w:tc>
          <w:tcPr>
            <w:tcW w:w="2324" w:type="pct"/>
            <w:tcBorders>
              <w:top w:val="single" w:sz="4" w:space="0" w:color="auto"/>
              <w:bottom w:val="single" w:sz="4" w:space="0" w:color="auto"/>
              <w:right w:val="single" w:sz="4" w:space="0" w:color="auto"/>
            </w:tcBorders>
          </w:tcPr>
          <w:p w:rsidR="009958E1" w:rsidRDefault="00CF4061">
            <w:pPr>
              <w:ind w:firstLineChars="0" w:firstLine="0"/>
            </w:pPr>
            <w:r>
              <w:rPr>
                <w:rStyle w:val="font21"/>
                <w:rFonts w:ascii="仿宋_GB2312" w:eastAsia="仿宋_GB2312" w:cs="Arial" w:hint="default"/>
                <w:sz w:val="24"/>
              </w:rPr>
              <w:t>标准发布后的宣贯培训，对标准进行详细解读</w:t>
            </w:r>
          </w:p>
        </w:tc>
      </w:tr>
      <w:tr w:rsidR="009958E1">
        <w:trPr>
          <w:trHeight w:val="450"/>
        </w:trPr>
        <w:tc>
          <w:tcPr>
            <w:tcW w:w="754" w:type="pct"/>
            <w:tcBorders>
              <w:top w:val="single" w:sz="4" w:space="0" w:color="auto"/>
              <w:left w:val="single" w:sz="4" w:space="0" w:color="auto"/>
              <w:bottom w:val="single" w:sz="4" w:space="0" w:color="auto"/>
            </w:tcBorders>
            <w:vAlign w:val="center"/>
          </w:tcPr>
          <w:p w:rsidR="009958E1" w:rsidRDefault="00CF4061">
            <w:pPr>
              <w:ind w:firstLineChars="0" w:firstLine="0"/>
              <w:jc w:val="center"/>
              <w:rPr>
                <w:rFonts w:ascii="仿宋_GB2312" w:hAnsi="宋体" w:cs="Arial"/>
                <w:color w:val="000000"/>
                <w:sz w:val="24"/>
              </w:rPr>
            </w:pPr>
            <w:r>
              <w:rPr>
                <w:rStyle w:val="font21"/>
                <w:rFonts w:ascii="仿宋_GB2312" w:eastAsia="仿宋_GB2312" w:cs="Arial" w:hint="default"/>
                <w:sz w:val="24"/>
              </w:rPr>
              <w:lastRenderedPageBreak/>
              <w:t>韦剑欢</w:t>
            </w:r>
          </w:p>
        </w:tc>
        <w:tc>
          <w:tcPr>
            <w:tcW w:w="899" w:type="pct"/>
            <w:tcBorders>
              <w:top w:val="single" w:sz="4" w:space="0" w:color="auto"/>
              <w:bottom w:val="single" w:sz="4" w:space="0" w:color="auto"/>
            </w:tcBorders>
            <w:vAlign w:val="center"/>
          </w:tcPr>
          <w:p w:rsidR="009958E1" w:rsidRDefault="00CF4061">
            <w:pPr>
              <w:ind w:firstLineChars="0" w:firstLine="0"/>
              <w:jc w:val="center"/>
              <w:rPr>
                <w:rFonts w:ascii="仿宋_GB2312" w:hAnsi="宋体" w:cs="Arial"/>
                <w:color w:val="000000"/>
                <w:sz w:val="24"/>
              </w:rPr>
            </w:pPr>
            <w:r>
              <w:rPr>
                <w:rStyle w:val="font21"/>
                <w:rFonts w:ascii="仿宋_GB2312" w:eastAsia="仿宋_GB2312" w:cs="Arial" w:hint="default"/>
                <w:sz w:val="24"/>
              </w:rPr>
              <w:t>总经理</w:t>
            </w:r>
          </w:p>
        </w:tc>
        <w:tc>
          <w:tcPr>
            <w:tcW w:w="1023" w:type="pct"/>
            <w:tcBorders>
              <w:top w:val="single" w:sz="4" w:space="0" w:color="auto"/>
              <w:bottom w:val="single" w:sz="4" w:space="0" w:color="auto"/>
            </w:tcBorders>
            <w:vAlign w:val="center"/>
          </w:tcPr>
          <w:p w:rsidR="009958E1" w:rsidRDefault="00CF4061">
            <w:pPr>
              <w:ind w:firstLineChars="0" w:firstLine="0"/>
              <w:jc w:val="center"/>
              <w:rPr>
                <w:rFonts w:ascii="仿宋_GB2312" w:hAnsi="宋体" w:cs="Arial"/>
                <w:color w:val="000000"/>
                <w:sz w:val="24"/>
              </w:rPr>
            </w:pPr>
            <w:r>
              <w:rPr>
                <w:rStyle w:val="font21"/>
                <w:rFonts w:ascii="仿宋_GB2312" w:eastAsia="仿宋_GB2312" w:cs="Arial" w:hint="default"/>
                <w:sz w:val="24"/>
              </w:rPr>
              <w:t>广西灵山百菲奶水牛养殖有限公司</w:t>
            </w:r>
          </w:p>
        </w:tc>
        <w:tc>
          <w:tcPr>
            <w:tcW w:w="2324" w:type="pct"/>
            <w:tcBorders>
              <w:top w:val="single" w:sz="4" w:space="0" w:color="auto"/>
              <w:bottom w:val="single" w:sz="4" w:space="0" w:color="auto"/>
              <w:right w:val="single" w:sz="4" w:space="0" w:color="auto"/>
            </w:tcBorders>
          </w:tcPr>
          <w:p w:rsidR="009958E1" w:rsidRDefault="00CF4061">
            <w:pPr>
              <w:ind w:firstLineChars="0" w:firstLine="0"/>
            </w:pPr>
            <w:r>
              <w:rPr>
                <w:rStyle w:val="font21"/>
                <w:rFonts w:ascii="仿宋_GB2312" w:eastAsia="仿宋_GB2312" w:cs="Arial" w:hint="default"/>
                <w:sz w:val="24"/>
              </w:rPr>
              <w:t>标准发布后的宣贯培训，对标准进行详细解读</w:t>
            </w:r>
          </w:p>
        </w:tc>
      </w:tr>
      <w:tr w:rsidR="009958E1">
        <w:trPr>
          <w:trHeight w:val="450"/>
        </w:trPr>
        <w:tc>
          <w:tcPr>
            <w:tcW w:w="754" w:type="pct"/>
            <w:tcBorders>
              <w:top w:val="single" w:sz="4" w:space="0" w:color="auto"/>
              <w:left w:val="single" w:sz="4" w:space="0" w:color="auto"/>
              <w:bottom w:val="single" w:sz="4" w:space="0" w:color="auto"/>
            </w:tcBorders>
            <w:vAlign w:val="center"/>
          </w:tcPr>
          <w:p w:rsidR="009958E1" w:rsidRDefault="00CF4061">
            <w:pPr>
              <w:ind w:firstLineChars="0" w:firstLine="0"/>
              <w:jc w:val="center"/>
              <w:rPr>
                <w:rFonts w:ascii="仿宋_GB2312" w:hAnsi="宋体" w:cs="Arial"/>
                <w:color w:val="000000"/>
                <w:sz w:val="24"/>
              </w:rPr>
            </w:pPr>
            <w:r>
              <w:rPr>
                <w:rStyle w:val="font21"/>
                <w:rFonts w:ascii="仿宋_GB2312" w:eastAsia="仿宋_GB2312" w:cs="Arial" w:hint="default"/>
                <w:sz w:val="24"/>
              </w:rPr>
              <w:t>黄俊翔</w:t>
            </w:r>
          </w:p>
        </w:tc>
        <w:tc>
          <w:tcPr>
            <w:tcW w:w="899" w:type="pct"/>
            <w:tcBorders>
              <w:top w:val="single" w:sz="4" w:space="0" w:color="auto"/>
              <w:bottom w:val="single" w:sz="4" w:space="0" w:color="auto"/>
            </w:tcBorders>
            <w:vAlign w:val="center"/>
          </w:tcPr>
          <w:p w:rsidR="009958E1" w:rsidRDefault="00CF4061">
            <w:pPr>
              <w:ind w:firstLineChars="0" w:firstLine="0"/>
              <w:jc w:val="center"/>
              <w:rPr>
                <w:rFonts w:ascii="仿宋_GB2312" w:hAnsi="宋体" w:cs="Arial"/>
                <w:color w:val="000000"/>
                <w:sz w:val="24"/>
              </w:rPr>
            </w:pPr>
            <w:r>
              <w:rPr>
                <w:rStyle w:val="font21"/>
                <w:rFonts w:ascii="仿宋_GB2312" w:eastAsia="仿宋_GB2312" w:cs="Arial" w:hint="default"/>
                <w:sz w:val="24"/>
              </w:rPr>
              <w:t>工程师</w:t>
            </w:r>
          </w:p>
        </w:tc>
        <w:tc>
          <w:tcPr>
            <w:tcW w:w="1023" w:type="pct"/>
            <w:tcBorders>
              <w:top w:val="single" w:sz="4" w:space="0" w:color="auto"/>
              <w:bottom w:val="single" w:sz="4" w:space="0" w:color="auto"/>
            </w:tcBorders>
            <w:vAlign w:val="center"/>
          </w:tcPr>
          <w:p w:rsidR="009958E1" w:rsidRDefault="00CF4061">
            <w:pPr>
              <w:ind w:firstLineChars="0" w:firstLine="0"/>
              <w:jc w:val="center"/>
              <w:rPr>
                <w:rFonts w:ascii="仿宋_GB2312" w:hAnsi="宋体" w:cs="Arial"/>
                <w:color w:val="000000"/>
                <w:sz w:val="24"/>
              </w:rPr>
            </w:pPr>
            <w:r>
              <w:rPr>
                <w:rStyle w:val="font21"/>
                <w:rFonts w:ascii="仿宋_GB2312" w:eastAsia="仿宋_GB2312" w:cs="Arial" w:hint="default"/>
                <w:sz w:val="24"/>
              </w:rPr>
              <w:t>广西皇氏乳业有限公司</w:t>
            </w:r>
          </w:p>
        </w:tc>
        <w:tc>
          <w:tcPr>
            <w:tcW w:w="2324" w:type="pct"/>
            <w:tcBorders>
              <w:top w:val="single" w:sz="4" w:space="0" w:color="auto"/>
              <w:bottom w:val="single" w:sz="4" w:space="0" w:color="auto"/>
              <w:right w:val="single" w:sz="4" w:space="0" w:color="auto"/>
            </w:tcBorders>
          </w:tcPr>
          <w:p w:rsidR="009958E1" w:rsidRDefault="00CF4061">
            <w:pPr>
              <w:ind w:firstLineChars="0" w:firstLine="0"/>
            </w:pPr>
            <w:r>
              <w:rPr>
                <w:rStyle w:val="font21"/>
                <w:rFonts w:ascii="仿宋_GB2312" w:eastAsia="仿宋_GB2312" w:cs="Arial" w:hint="default"/>
                <w:sz w:val="24"/>
              </w:rPr>
              <w:t>标准发布后的宣贯培训，对标准进行详细解读</w:t>
            </w:r>
          </w:p>
        </w:tc>
      </w:tr>
      <w:tr w:rsidR="009958E1">
        <w:trPr>
          <w:trHeight w:val="450"/>
        </w:trPr>
        <w:tc>
          <w:tcPr>
            <w:tcW w:w="754" w:type="pct"/>
            <w:tcBorders>
              <w:top w:val="single" w:sz="4" w:space="0" w:color="auto"/>
              <w:left w:val="single" w:sz="4" w:space="0" w:color="auto"/>
              <w:bottom w:val="single" w:sz="4" w:space="0" w:color="auto"/>
            </w:tcBorders>
            <w:vAlign w:val="center"/>
          </w:tcPr>
          <w:p w:rsidR="009958E1" w:rsidRDefault="00CF4061">
            <w:pPr>
              <w:ind w:firstLineChars="0" w:firstLine="0"/>
              <w:jc w:val="center"/>
              <w:rPr>
                <w:rFonts w:ascii="仿宋_GB2312" w:hAnsi="宋体" w:cs="Arial"/>
                <w:color w:val="000000"/>
                <w:sz w:val="24"/>
              </w:rPr>
            </w:pPr>
            <w:r>
              <w:rPr>
                <w:rStyle w:val="font21"/>
                <w:rFonts w:ascii="仿宋_GB2312" w:eastAsia="仿宋_GB2312" w:cs="Arial" w:hint="default"/>
                <w:sz w:val="24"/>
              </w:rPr>
              <w:t>祝宗君</w:t>
            </w:r>
          </w:p>
        </w:tc>
        <w:tc>
          <w:tcPr>
            <w:tcW w:w="899" w:type="pct"/>
            <w:tcBorders>
              <w:top w:val="single" w:sz="4" w:space="0" w:color="auto"/>
              <w:bottom w:val="single" w:sz="4" w:space="0" w:color="auto"/>
            </w:tcBorders>
            <w:vAlign w:val="center"/>
          </w:tcPr>
          <w:p w:rsidR="009958E1" w:rsidRDefault="00CF4061">
            <w:pPr>
              <w:ind w:firstLineChars="0" w:firstLine="0"/>
              <w:jc w:val="center"/>
              <w:rPr>
                <w:rFonts w:ascii="仿宋_GB2312" w:hAnsi="宋体" w:cs="Arial"/>
                <w:color w:val="000000"/>
                <w:sz w:val="24"/>
              </w:rPr>
            </w:pPr>
            <w:r>
              <w:rPr>
                <w:rStyle w:val="font21"/>
                <w:rFonts w:ascii="仿宋_GB2312" w:eastAsia="仿宋_GB2312" w:cs="Arial" w:hint="default"/>
                <w:sz w:val="24"/>
              </w:rPr>
              <w:t>干部</w:t>
            </w:r>
          </w:p>
        </w:tc>
        <w:tc>
          <w:tcPr>
            <w:tcW w:w="1023" w:type="pct"/>
            <w:tcBorders>
              <w:top w:val="single" w:sz="4" w:space="0" w:color="auto"/>
              <w:bottom w:val="single" w:sz="4" w:space="0" w:color="auto"/>
            </w:tcBorders>
            <w:vAlign w:val="center"/>
          </w:tcPr>
          <w:p w:rsidR="009958E1" w:rsidRDefault="00CF4061">
            <w:pPr>
              <w:ind w:firstLineChars="0" w:firstLine="0"/>
              <w:jc w:val="center"/>
              <w:rPr>
                <w:rFonts w:ascii="仿宋_GB2312" w:hAnsi="宋体" w:cs="Arial"/>
                <w:color w:val="000000"/>
                <w:sz w:val="24"/>
              </w:rPr>
            </w:pPr>
            <w:r>
              <w:rPr>
                <w:rStyle w:val="font21"/>
                <w:rFonts w:ascii="仿宋_GB2312" w:eastAsia="仿宋_GB2312" w:cs="Arial" w:hint="default"/>
                <w:sz w:val="24"/>
              </w:rPr>
              <w:t>灵山县农业农村局</w:t>
            </w:r>
          </w:p>
        </w:tc>
        <w:tc>
          <w:tcPr>
            <w:tcW w:w="2324" w:type="pct"/>
            <w:tcBorders>
              <w:top w:val="single" w:sz="4" w:space="0" w:color="auto"/>
              <w:bottom w:val="single" w:sz="4" w:space="0" w:color="auto"/>
              <w:right w:val="single" w:sz="4" w:space="0" w:color="auto"/>
            </w:tcBorders>
          </w:tcPr>
          <w:p w:rsidR="009958E1" w:rsidRDefault="00CF4061">
            <w:pPr>
              <w:ind w:firstLineChars="0" w:firstLine="0"/>
            </w:pPr>
            <w:r>
              <w:rPr>
                <w:rStyle w:val="font21"/>
                <w:rFonts w:ascii="仿宋_GB2312" w:eastAsia="仿宋_GB2312" w:cs="Arial" w:hint="default"/>
                <w:sz w:val="24"/>
              </w:rPr>
              <w:t>标准发布后的宣贯培训，对标准进行详细解读</w:t>
            </w:r>
          </w:p>
        </w:tc>
      </w:tr>
      <w:tr w:rsidR="009958E1">
        <w:trPr>
          <w:trHeight w:val="450"/>
        </w:trPr>
        <w:tc>
          <w:tcPr>
            <w:tcW w:w="754" w:type="pct"/>
            <w:tcBorders>
              <w:top w:val="single" w:sz="4" w:space="0" w:color="auto"/>
              <w:left w:val="single" w:sz="4" w:space="0" w:color="auto"/>
              <w:bottom w:val="single" w:sz="4" w:space="0" w:color="auto"/>
            </w:tcBorders>
            <w:vAlign w:val="center"/>
          </w:tcPr>
          <w:p w:rsidR="009958E1" w:rsidRDefault="00CF4061">
            <w:pPr>
              <w:ind w:firstLineChars="0" w:firstLine="0"/>
              <w:jc w:val="center"/>
              <w:rPr>
                <w:rFonts w:ascii="仿宋_GB2312" w:hAnsi="宋体" w:cs="Arial"/>
                <w:color w:val="000000"/>
                <w:sz w:val="24"/>
              </w:rPr>
            </w:pPr>
            <w:r>
              <w:rPr>
                <w:rStyle w:val="font21"/>
                <w:rFonts w:ascii="仿宋_GB2312" w:eastAsia="仿宋_GB2312" w:cs="Arial" w:hint="default"/>
                <w:sz w:val="24"/>
              </w:rPr>
              <w:t>黄郁萱</w:t>
            </w:r>
          </w:p>
        </w:tc>
        <w:tc>
          <w:tcPr>
            <w:tcW w:w="899" w:type="pct"/>
            <w:tcBorders>
              <w:top w:val="single" w:sz="4" w:space="0" w:color="auto"/>
              <w:bottom w:val="single" w:sz="4" w:space="0" w:color="auto"/>
            </w:tcBorders>
            <w:vAlign w:val="center"/>
          </w:tcPr>
          <w:p w:rsidR="009958E1" w:rsidRDefault="00CF4061">
            <w:pPr>
              <w:ind w:firstLineChars="0" w:firstLine="0"/>
              <w:jc w:val="center"/>
              <w:rPr>
                <w:rFonts w:ascii="仿宋_GB2312" w:hAnsi="宋体" w:cs="Arial"/>
                <w:color w:val="000000"/>
                <w:sz w:val="24"/>
              </w:rPr>
            </w:pPr>
            <w:r>
              <w:rPr>
                <w:rStyle w:val="font21"/>
                <w:rFonts w:ascii="仿宋_GB2312" w:eastAsia="仿宋_GB2312" w:cs="Arial" w:hint="default"/>
                <w:sz w:val="24"/>
              </w:rPr>
              <w:t>兽医师</w:t>
            </w:r>
          </w:p>
        </w:tc>
        <w:tc>
          <w:tcPr>
            <w:tcW w:w="1023" w:type="pct"/>
            <w:tcBorders>
              <w:top w:val="single" w:sz="4" w:space="0" w:color="auto"/>
              <w:bottom w:val="single" w:sz="4" w:space="0" w:color="auto"/>
            </w:tcBorders>
          </w:tcPr>
          <w:p w:rsidR="009958E1" w:rsidRDefault="00CF4061">
            <w:pPr>
              <w:ind w:firstLineChars="0" w:firstLine="0"/>
              <w:jc w:val="center"/>
              <w:rPr>
                <w:rFonts w:ascii="仿宋_GB2312" w:hAnsi="宋体" w:cs="Arial"/>
                <w:color w:val="000000"/>
                <w:sz w:val="24"/>
              </w:rPr>
            </w:pPr>
            <w:r>
              <w:rPr>
                <w:rStyle w:val="font21"/>
                <w:rFonts w:ascii="仿宋_GB2312" w:eastAsia="仿宋_GB2312" w:cs="Arial" w:hint="default"/>
                <w:sz w:val="24"/>
              </w:rPr>
              <w:t>广西农业工程职业技术学院</w:t>
            </w:r>
          </w:p>
        </w:tc>
        <w:tc>
          <w:tcPr>
            <w:tcW w:w="2324" w:type="pct"/>
            <w:tcBorders>
              <w:top w:val="single" w:sz="4" w:space="0" w:color="auto"/>
              <w:bottom w:val="single" w:sz="4" w:space="0" w:color="auto"/>
              <w:right w:val="single" w:sz="4" w:space="0" w:color="auto"/>
            </w:tcBorders>
          </w:tcPr>
          <w:p w:rsidR="009958E1" w:rsidRDefault="00CF4061">
            <w:pPr>
              <w:ind w:firstLineChars="0" w:firstLine="0"/>
            </w:pPr>
            <w:r>
              <w:rPr>
                <w:rStyle w:val="font21"/>
                <w:rFonts w:ascii="仿宋_GB2312" w:eastAsia="仿宋_GB2312" w:cs="Arial" w:hint="default"/>
                <w:sz w:val="24"/>
              </w:rPr>
              <w:t>标准发布后的宣贯培训，对标准进行详细解读</w:t>
            </w:r>
          </w:p>
        </w:tc>
      </w:tr>
      <w:tr w:rsidR="009958E1">
        <w:trPr>
          <w:trHeight w:val="450"/>
        </w:trPr>
        <w:tc>
          <w:tcPr>
            <w:tcW w:w="754" w:type="pct"/>
            <w:tcBorders>
              <w:top w:val="single" w:sz="4" w:space="0" w:color="auto"/>
              <w:left w:val="single" w:sz="4" w:space="0" w:color="auto"/>
              <w:bottom w:val="single" w:sz="4" w:space="0" w:color="auto"/>
            </w:tcBorders>
            <w:vAlign w:val="center"/>
          </w:tcPr>
          <w:p w:rsidR="009958E1" w:rsidRDefault="00CF4061">
            <w:pPr>
              <w:ind w:firstLineChars="0" w:firstLine="0"/>
              <w:jc w:val="center"/>
              <w:rPr>
                <w:rFonts w:ascii="仿宋_GB2312" w:hAnsi="宋体" w:cs="Arial"/>
                <w:color w:val="000000"/>
                <w:sz w:val="24"/>
              </w:rPr>
            </w:pPr>
            <w:r>
              <w:rPr>
                <w:rStyle w:val="font21"/>
                <w:rFonts w:ascii="仿宋_GB2312" w:eastAsia="仿宋_GB2312" w:cs="Arial" w:hint="default"/>
                <w:sz w:val="24"/>
              </w:rPr>
              <w:t>黄</w:t>
            </w:r>
            <w:r>
              <w:rPr>
                <w:rStyle w:val="font21"/>
                <w:rFonts w:ascii="仿宋_GB2312" w:eastAsia="仿宋_GB2312" w:cs="Arial" w:hint="default"/>
                <w:sz w:val="24"/>
              </w:rPr>
              <w:t xml:space="preserve"> </w:t>
            </w:r>
            <w:r>
              <w:rPr>
                <w:rStyle w:val="font21"/>
                <w:rFonts w:ascii="仿宋_GB2312" w:eastAsia="仿宋_GB2312" w:cs="Arial" w:hint="default"/>
                <w:sz w:val="24"/>
              </w:rPr>
              <w:t>强</w:t>
            </w:r>
          </w:p>
        </w:tc>
        <w:tc>
          <w:tcPr>
            <w:tcW w:w="899" w:type="pct"/>
            <w:tcBorders>
              <w:top w:val="single" w:sz="4" w:space="0" w:color="auto"/>
              <w:bottom w:val="single" w:sz="4" w:space="0" w:color="auto"/>
            </w:tcBorders>
            <w:vAlign w:val="center"/>
          </w:tcPr>
          <w:p w:rsidR="009958E1" w:rsidRDefault="00CF4061">
            <w:pPr>
              <w:ind w:firstLineChars="0" w:firstLine="0"/>
              <w:jc w:val="center"/>
              <w:rPr>
                <w:rFonts w:ascii="仿宋_GB2312" w:hAnsi="宋体" w:cs="Arial"/>
                <w:color w:val="000000"/>
                <w:sz w:val="24"/>
              </w:rPr>
            </w:pPr>
            <w:r>
              <w:rPr>
                <w:rStyle w:val="font21"/>
                <w:rFonts w:ascii="仿宋_GB2312" w:eastAsia="仿宋_GB2312" w:cs="Arial" w:hint="default"/>
                <w:sz w:val="24"/>
              </w:rPr>
              <w:t>经理</w:t>
            </w:r>
          </w:p>
        </w:tc>
        <w:tc>
          <w:tcPr>
            <w:tcW w:w="1023" w:type="pct"/>
            <w:tcBorders>
              <w:top w:val="single" w:sz="4" w:space="0" w:color="auto"/>
              <w:bottom w:val="single" w:sz="4" w:space="0" w:color="auto"/>
            </w:tcBorders>
            <w:vAlign w:val="center"/>
          </w:tcPr>
          <w:p w:rsidR="009958E1" w:rsidRDefault="00CF4061">
            <w:pPr>
              <w:ind w:firstLineChars="0" w:firstLine="0"/>
              <w:jc w:val="center"/>
              <w:rPr>
                <w:rFonts w:ascii="仿宋_GB2312" w:hAnsi="宋体" w:cs="Arial"/>
                <w:color w:val="000000"/>
                <w:sz w:val="24"/>
              </w:rPr>
            </w:pPr>
            <w:r>
              <w:rPr>
                <w:rStyle w:val="font21"/>
                <w:rFonts w:ascii="仿宋_GB2312" w:eastAsia="仿宋_GB2312" w:cs="Arial" w:hint="default"/>
                <w:sz w:val="24"/>
              </w:rPr>
              <w:t>广西灵山百菲奶水牛养殖有限公司</w:t>
            </w:r>
          </w:p>
        </w:tc>
        <w:tc>
          <w:tcPr>
            <w:tcW w:w="2324" w:type="pct"/>
            <w:tcBorders>
              <w:top w:val="single" w:sz="4" w:space="0" w:color="auto"/>
              <w:bottom w:val="single" w:sz="4" w:space="0" w:color="auto"/>
              <w:right w:val="single" w:sz="4" w:space="0" w:color="auto"/>
            </w:tcBorders>
          </w:tcPr>
          <w:p w:rsidR="009958E1" w:rsidRDefault="00CF4061">
            <w:pPr>
              <w:ind w:firstLineChars="0" w:firstLine="0"/>
            </w:pPr>
            <w:r>
              <w:rPr>
                <w:rStyle w:val="font21"/>
                <w:rFonts w:ascii="仿宋_GB2312" w:eastAsia="仿宋_GB2312" w:cs="Arial" w:hint="default"/>
                <w:sz w:val="24"/>
              </w:rPr>
              <w:t>标准发布后的宣贯培训，对标准进行详细解读</w:t>
            </w:r>
          </w:p>
        </w:tc>
      </w:tr>
      <w:tr w:rsidR="009958E1">
        <w:trPr>
          <w:trHeight w:val="450"/>
        </w:trPr>
        <w:tc>
          <w:tcPr>
            <w:tcW w:w="754" w:type="pct"/>
            <w:tcBorders>
              <w:top w:val="single" w:sz="4" w:space="0" w:color="auto"/>
              <w:left w:val="single" w:sz="4" w:space="0" w:color="auto"/>
              <w:bottom w:val="single" w:sz="4" w:space="0" w:color="auto"/>
            </w:tcBorders>
            <w:vAlign w:val="center"/>
          </w:tcPr>
          <w:p w:rsidR="009958E1" w:rsidRDefault="00CF4061">
            <w:pPr>
              <w:ind w:firstLineChars="0" w:firstLine="0"/>
              <w:jc w:val="center"/>
              <w:rPr>
                <w:rFonts w:ascii="仿宋_GB2312" w:hAnsi="宋体" w:cs="Arial"/>
                <w:color w:val="000000"/>
                <w:sz w:val="24"/>
              </w:rPr>
            </w:pPr>
            <w:r>
              <w:rPr>
                <w:rStyle w:val="font21"/>
                <w:rFonts w:ascii="仿宋_GB2312" w:eastAsia="仿宋_GB2312" w:cs="Arial" w:hint="default"/>
                <w:sz w:val="24"/>
              </w:rPr>
              <w:t>黄子诚</w:t>
            </w:r>
          </w:p>
        </w:tc>
        <w:tc>
          <w:tcPr>
            <w:tcW w:w="899" w:type="pct"/>
            <w:tcBorders>
              <w:top w:val="single" w:sz="4" w:space="0" w:color="auto"/>
              <w:bottom w:val="single" w:sz="4" w:space="0" w:color="auto"/>
            </w:tcBorders>
            <w:vAlign w:val="center"/>
          </w:tcPr>
          <w:p w:rsidR="009958E1" w:rsidRDefault="00CF4061">
            <w:pPr>
              <w:ind w:firstLineChars="0" w:firstLine="0"/>
              <w:jc w:val="center"/>
              <w:rPr>
                <w:rFonts w:ascii="仿宋_GB2312" w:hAnsi="宋体" w:cs="Arial"/>
                <w:color w:val="000000"/>
                <w:sz w:val="24"/>
              </w:rPr>
            </w:pPr>
            <w:r>
              <w:rPr>
                <w:rStyle w:val="font21"/>
                <w:rFonts w:ascii="仿宋_GB2312" w:eastAsia="仿宋_GB2312" w:cs="Arial" w:hint="default"/>
                <w:sz w:val="24"/>
              </w:rPr>
              <w:t>畜牧师</w:t>
            </w:r>
          </w:p>
        </w:tc>
        <w:tc>
          <w:tcPr>
            <w:tcW w:w="1023" w:type="pct"/>
            <w:tcBorders>
              <w:top w:val="single" w:sz="4" w:space="0" w:color="auto"/>
              <w:bottom w:val="single" w:sz="4" w:space="0" w:color="auto"/>
            </w:tcBorders>
            <w:vAlign w:val="center"/>
          </w:tcPr>
          <w:p w:rsidR="009958E1" w:rsidRDefault="00CF4061">
            <w:pPr>
              <w:ind w:firstLineChars="0" w:firstLine="0"/>
              <w:jc w:val="center"/>
              <w:rPr>
                <w:rFonts w:ascii="仿宋_GB2312" w:hAnsi="宋体" w:cs="Arial"/>
                <w:color w:val="000000"/>
                <w:sz w:val="24"/>
              </w:rPr>
            </w:pPr>
            <w:r>
              <w:rPr>
                <w:rStyle w:val="font21"/>
                <w:rFonts w:ascii="仿宋_GB2312" w:eastAsia="仿宋_GB2312" w:cs="Arial" w:hint="default"/>
                <w:sz w:val="24"/>
              </w:rPr>
              <w:t>广西壮族自治区畜禽品种改良站</w:t>
            </w:r>
          </w:p>
        </w:tc>
        <w:tc>
          <w:tcPr>
            <w:tcW w:w="2324" w:type="pct"/>
            <w:tcBorders>
              <w:top w:val="single" w:sz="4" w:space="0" w:color="auto"/>
              <w:bottom w:val="single" w:sz="4" w:space="0" w:color="auto"/>
              <w:right w:val="single" w:sz="4" w:space="0" w:color="auto"/>
            </w:tcBorders>
          </w:tcPr>
          <w:p w:rsidR="009958E1" w:rsidRDefault="00CF4061">
            <w:pPr>
              <w:ind w:firstLineChars="0" w:firstLine="0"/>
            </w:pPr>
            <w:r>
              <w:rPr>
                <w:rStyle w:val="font21"/>
                <w:rFonts w:ascii="仿宋_GB2312" w:eastAsia="仿宋_GB2312" w:cs="Arial" w:hint="default"/>
                <w:sz w:val="24"/>
              </w:rPr>
              <w:t>标准发布后的宣贯培训，对标准进行详细解读</w:t>
            </w:r>
          </w:p>
        </w:tc>
      </w:tr>
      <w:tr w:rsidR="009958E1">
        <w:trPr>
          <w:trHeight w:val="450"/>
        </w:trPr>
        <w:tc>
          <w:tcPr>
            <w:tcW w:w="754" w:type="pct"/>
            <w:tcBorders>
              <w:top w:val="single" w:sz="4" w:space="0" w:color="auto"/>
              <w:left w:val="single" w:sz="4" w:space="0" w:color="auto"/>
              <w:bottom w:val="single" w:sz="4" w:space="0" w:color="auto"/>
            </w:tcBorders>
            <w:vAlign w:val="center"/>
          </w:tcPr>
          <w:p w:rsidR="009958E1" w:rsidRDefault="00CF4061">
            <w:pPr>
              <w:ind w:firstLineChars="0" w:firstLine="0"/>
              <w:jc w:val="center"/>
              <w:rPr>
                <w:rFonts w:ascii="仿宋_GB2312" w:hAnsi="宋体" w:cs="Arial"/>
                <w:color w:val="000000"/>
                <w:sz w:val="24"/>
              </w:rPr>
            </w:pPr>
            <w:r>
              <w:rPr>
                <w:rStyle w:val="font21"/>
                <w:rFonts w:ascii="仿宋_GB2312" w:eastAsia="仿宋_GB2312" w:cs="Arial" w:hint="default"/>
                <w:sz w:val="24"/>
              </w:rPr>
              <w:t>容海彬</w:t>
            </w:r>
          </w:p>
        </w:tc>
        <w:tc>
          <w:tcPr>
            <w:tcW w:w="899" w:type="pct"/>
            <w:tcBorders>
              <w:top w:val="single" w:sz="4" w:space="0" w:color="auto"/>
              <w:bottom w:val="single" w:sz="4" w:space="0" w:color="auto"/>
            </w:tcBorders>
            <w:vAlign w:val="center"/>
          </w:tcPr>
          <w:p w:rsidR="009958E1" w:rsidRDefault="00CF4061">
            <w:pPr>
              <w:ind w:firstLineChars="0" w:firstLine="0"/>
              <w:jc w:val="center"/>
              <w:rPr>
                <w:rFonts w:ascii="仿宋_GB2312" w:hAnsi="宋体" w:cs="Arial"/>
                <w:color w:val="000000"/>
                <w:sz w:val="24"/>
              </w:rPr>
            </w:pPr>
            <w:r>
              <w:rPr>
                <w:rStyle w:val="font21"/>
                <w:rFonts w:ascii="仿宋_GB2312" w:eastAsia="仿宋_GB2312" w:cs="Arial" w:hint="default"/>
                <w:sz w:val="24"/>
              </w:rPr>
              <w:t>助理兽医</w:t>
            </w:r>
            <w:r>
              <w:rPr>
                <w:rFonts w:ascii="仿宋_GB2312" w:cs="Arial" w:hint="eastAsia"/>
                <w:color w:val="000000"/>
                <w:sz w:val="24"/>
              </w:rPr>
              <w:br/>
            </w:r>
            <w:r>
              <w:rPr>
                <w:rStyle w:val="font21"/>
                <w:rFonts w:ascii="仿宋_GB2312" w:eastAsia="仿宋_GB2312" w:cs="Arial" w:hint="default"/>
                <w:sz w:val="24"/>
              </w:rPr>
              <w:t>师</w:t>
            </w:r>
          </w:p>
        </w:tc>
        <w:tc>
          <w:tcPr>
            <w:tcW w:w="1023" w:type="pct"/>
            <w:tcBorders>
              <w:top w:val="single" w:sz="4" w:space="0" w:color="auto"/>
              <w:bottom w:val="single" w:sz="4" w:space="0" w:color="auto"/>
            </w:tcBorders>
            <w:vAlign w:val="center"/>
          </w:tcPr>
          <w:p w:rsidR="009958E1" w:rsidRDefault="00CF4061">
            <w:pPr>
              <w:ind w:firstLineChars="0" w:firstLine="0"/>
              <w:jc w:val="center"/>
              <w:rPr>
                <w:rFonts w:ascii="仿宋_GB2312" w:hAnsi="宋体" w:cs="Arial"/>
                <w:color w:val="000000"/>
                <w:sz w:val="24"/>
              </w:rPr>
            </w:pPr>
            <w:r>
              <w:rPr>
                <w:rStyle w:val="font21"/>
                <w:rFonts w:ascii="仿宋_GB2312" w:eastAsia="仿宋_GB2312" w:cs="Arial" w:hint="default"/>
                <w:sz w:val="24"/>
              </w:rPr>
              <w:t>灵山县农业农村局</w:t>
            </w:r>
          </w:p>
        </w:tc>
        <w:tc>
          <w:tcPr>
            <w:tcW w:w="2324" w:type="pct"/>
            <w:tcBorders>
              <w:top w:val="single" w:sz="4" w:space="0" w:color="auto"/>
              <w:bottom w:val="single" w:sz="4" w:space="0" w:color="auto"/>
              <w:right w:val="single" w:sz="4" w:space="0" w:color="auto"/>
            </w:tcBorders>
          </w:tcPr>
          <w:p w:rsidR="009958E1" w:rsidRDefault="00CF4061">
            <w:pPr>
              <w:ind w:firstLineChars="0" w:firstLine="0"/>
            </w:pPr>
            <w:r>
              <w:rPr>
                <w:rStyle w:val="font21"/>
                <w:rFonts w:ascii="仿宋_GB2312" w:eastAsia="仿宋_GB2312" w:cs="Arial" w:hint="default"/>
                <w:sz w:val="24"/>
              </w:rPr>
              <w:t>标准发布后的宣贯培训，对标准进行详细解读</w:t>
            </w:r>
          </w:p>
        </w:tc>
      </w:tr>
      <w:tr w:rsidR="009958E1">
        <w:trPr>
          <w:trHeight w:val="450"/>
        </w:trPr>
        <w:tc>
          <w:tcPr>
            <w:tcW w:w="754" w:type="pct"/>
            <w:tcBorders>
              <w:top w:val="single" w:sz="4" w:space="0" w:color="auto"/>
              <w:left w:val="single" w:sz="4" w:space="0" w:color="auto"/>
              <w:bottom w:val="single" w:sz="4" w:space="0" w:color="auto"/>
            </w:tcBorders>
            <w:vAlign w:val="center"/>
          </w:tcPr>
          <w:p w:rsidR="009958E1" w:rsidRDefault="00CF4061">
            <w:pPr>
              <w:ind w:firstLineChars="0" w:firstLine="0"/>
              <w:jc w:val="center"/>
              <w:rPr>
                <w:rFonts w:ascii="仿宋_GB2312" w:hAnsi="宋体" w:cs="Arial"/>
                <w:color w:val="000000"/>
                <w:sz w:val="24"/>
              </w:rPr>
            </w:pPr>
            <w:r>
              <w:rPr>
                <w:rStyle w:val="font21"/>
                <w:rFonts w:ascii="仿宋_GB2312" w:eastAsia="仿宋_GB2312" w:cs="Arial" w:hint="default"/>
                <w:sz w:val="24"/>
              </w:rPr>
              <w:t>周家慧</w:t>
            </w:r>
          </w:p>
        </w:tc>
        <w:tc>
          <w:tcPr>
            <w:tcW w:w="899" w:type="pct"/>
            <w:tcBorders>
              <w:top w:val="single" w:sz="4" w:space="0" w:color="auto"/>
              <w:bottom w:val="single" w:sz="4" w:space="0" w:color="auto"/>
            </w:tcBorders>
            <w:vAlign w:val="center"/>
          </w:tcPr>
          <w:p w:rsidR="009958E1" w:rsidRDefault="00CF4061">
            <w:pPr>
              <w:ind w:firstLineChars="0" w:firstLine="0"/>
              <w:jc w:val="center"/>
              <w:rPr>
                <w:rFonts w:ascii="仿宋_GB2312" w:hAnsi="宋体" w:cs="Arial"/>
                <w:color w:val="000000"/>
                <w:sz w:val="24"/>
              </w:rPr>
            </w:pPr>
            <w:r>
              <w:rPr>
                <w:rStyle w:val="font21"/>
                <w:rFonts w:ascii="仿宋_GB2312" w:eastAsia="仿宋_GB2312" w:cs="Arial" w:hint="default"/>
                <w:sz w:val="24"/>
              </w:rPr>
              <w:t>兽医师</w:t>
            </w:r>
          </w:p>
        </w:tc>
        <w:tc>
          <w:tcPr>
            <w:tcW w:w="1023" w:type="pct"/>
            <w:tcBorders>
              <w:top w:val="single" w:sz="4" w:space="0" w:color="auto"/>
              <w:bottom w:val="single" w:sz="4" w:space="0" w:color="auto"/>
            </w:tcBorders>
            <w:vAlign w:val="center"/>
          </w:tcPr>
          <w:p w:rsidR="009958E1" w:rsidRDefault="00CF4061">
            <w:pPr>
              <w:ind w:firstLineChars="0" w:firstLine="0"/>
              <w:jc w:val="center"/>
              <w:rPr>
                <w:rFonts w:ascii="仿宋_GB2312" w:hAnsi="宋体" w:cs="Arial"/>
                <w:color w:val="000000"/>
                <w:sz w:val="24"/>
              </w:rPr>
            </w:pPr>
            <w:r>
              <w:rPr>
                <w:rStyle w:val="font21"/>
                <w:rFonts w:ascii="仿宋_GB2312" w:eastAsia="仿宋_GB2312" w:cs="Arial" w:hint="default"/>
                <w:sz w:val="24"/>
              </w:rPr>
              <w:t>广西农业工程职业技术学院</w:t>
            </w:r>
          </w:p>
        </w:tc>
        <w:tc>
          <w:tcPr>
            <w:tcW w:w="2324" w:type="pct"/>
            <w:tcBorders>
              <w:top w:val="single" w:sz="4" w:space="0" w:color="auto"/>
              <w:bottom w:val="single" w:sz="4" w:space="0" w:color="auto"/>
              <w:right w:val="single" w:sz="4" w:space="0" w:color="auto"/>
            </w:tcBorders>
          </w:tcPr>
          <w:p w:rsidR="009958E1" w:rsidRDefault="00CF4061">
            <w:pPr>
              <w:ind w:firstLineChars="0" w:firstLine="0"/>
            </w:pPr>
            <w:r>
              <w:rPr>
                <w:rStyle w:val="font21"/>
                <w:rFonts w:ascii="仿宋_GB2312" w:eastAsia="仿宋_GB2312" w:cs="Arial" w:hint="default"/>
                <w:sz w:val="24"/>
              </w:rPr>
              <w:t>标准发布后的宣贯培训，对标准进行详细解读</w:t>
            </w:r>
          </w:p>
        </w:tc>
      </w:tr>
      <w:tr w:rsidR="009958E1">
        <w:trPr>
          <w:trHeight w:val="450"/>
        </w:trPr>
        <w:tc>
          <w:tcPr>
            <w:tcW w:w="754" w:type="pct"/>
            <w:tcBorders>
              <w:top w:val="single" w:sz="4" w:space="0" w:color="auto"/>
              <w:left w:val="single" w:sz="4" w:space="0" w:color="auto"/>
              <w:bottom w:val="single" w:sz="4" w:space="0" w:color="auto"/>
            </w:tcBorders>
            <w:vAlign w:val="center"/>
          </w:tcPr>
          <w:p w:rsidR="009958E1" w:rsidRDefault="00CF4061">
            <w:pPr>
              <w:ind w:firstLineChars="0" w:firstLine="0"/>
              <w:jc w:val="center"/>
              <w:rPr>
                <w:rFonts w:ascii="仿宋_GB2312" w:hAnsi="宋体" w:cs="Arial"/>
                <w:color w:val="000000"/>
                <w:sz w:val="24"/>
              </w:rPr>
            </w:pPr>
            <w:r>
              <w:rPr>
                <w:rStyle w:val="font21"/>
                <w:rFonts w:ascii="仿宋_GB2312" w:eastAsia="仿宋_GB2312" w:cs="Arial" w:hint="default"/>
                <w:sz w:val="24"/>
              </w:rPr>
              <w:t>黄国维</w:t>
            </w:r>
          </w:p>
        </w:tc>
        <w:tc>
          <w:tcPr>
            <w:tcW w:w="899" w:type="pct"/>
            <w:tcBorders>
              <w:top w:val="single" w:sz="4" w:space="0" w:color="auto"/>
              <w:bottom w:val="single" w:sz="4" w:space="0" w:color="auto"/>
            </w:tcBorders>
            <w:vAlign w:val="center"/>
          </w:tcPr>
          <w:p w:rsidR="009958E1" w:rsidRDefault="00CF4061">
            <w:pPr>
              <w:ind w:firstLineChars="0" w:firstLine="0"/>
              <w:jc w:val="center"/>
              <w:rPr>
                <w:rFonts w:ascii="仿宋_GB2312" w:hAnsi="宋体" w:cs="Arial"/>
                <w:color w:val="000000"/>
                <w:sz w:val="24"/>
              </w:rPr>
            </w:pPr>
            <w:r>
              <w:rPr>
                <w:rStyle w:val="font21"/>
                <w:rFonts w:ascii="仿宋_GB2312" w:eastAsia="仿宋_GB2312" w:cs="Arial" w:hint="default"/>
                <w:sz w:val="24"/>
              </w:rPr>
              <w:t>干部</w:t>
            </w:r>
          </w:p>
        </w:tc>
        <w:tc>
          <w:tcPr>
            <w:tcW w:w="1023" w:type="pct"/>
            <w:tcBorders>
              <w:top w:val="single" w:sz="4" w:space="0" w:color="auto"/>
              <w:bottom w:val="single" w:sz="4" w:space="0" w:color="auto"/>
            </w:tcBorders>
            <w:vAlign w:val="center"/>
          </w:tcPr>
          <w:p w:rsidR="009958E1" w:rsidRDefault="00CF4061">
            <w:pPr>
              <w:ind w:firstLineChars="0" w:firstLine="0"/>
              <w:jc w:val="center"/>
              <w:rPr>
                <w:rFonts w:ascii="仿宋_GB2312" w:hAnsi="宋体" w:cs="Arial"/>
                <w:color w:val="000000"/>
                <w:sz w:val="24"/>
              </w:rPr>
            </w:pPr>
            <w:r>
              <w:rPr>
                <w:rStyle w:val="font21"/>
                <w:rFonts w:ascii="仿宋_GB2312" w:eastAsia="仿宋_GB2312" w:cs="Arial" w:hint="default"/>
                <w:sz w:val="24"/>
              </w:rPr>
              <w:t>灵山县农业农村局</w:t>
            </w:r>
          </w:p>
        </w:tc>
        <w:tc>
          <w:tcPr>
            <w:tcW w:w="2324" w:type="pct"/>
            <w:tcBorders>
              <w:top w:val="single" w:sz="4" w:space="0" w:color="auto"/>
              <w:bottom w:val="single" w:sz="4" w:space="0" w:color="auto"/>
              <w:right w:val="single" w:sz="4" w:space="0" w:color="auto"/>
            </w:tcBorders>
          </w:tcPr>
          <w:p w:rsidR="009958E1" w:rsidRDefault="00CF4061">
            <w:pPr>
              <w:ind w:firstLineChars="0" w:firstLine="0"/>
            </w:pPr>
            <w:r>
              <w:rPr>
                <w:rStyle w:val="font21"/>
                <w:rFonts w:ascii="仿宋_GB2312" w:eastAsia="仿宋_GB2312" w:cs="Arial" w:hint="default"/>
                <w:sz w:val="24"/>
              </w:rPr>
              <w:t>标准发布后的宣贯培训，对标准进行详细解读</w:t>
            </w:r>
          </w:p>
        </w:tc>
      </w:tr>
    </w:tbl>
    <w:p w:rsidR="009958E1" w:rsidRDefault="00CF4061">
      <w:pPr>
        <w:autoSpaceDE w:val="0"/>
        <w:autoSpaceDN w:val="0"/>
        <w:adjustRightInd w:val="0"/>
        <w:spacing w:beforeLines="50" w:before="156" w:afterLines="50" w:after="156" w:line="560" w:lineRule="exact"/>
        <w:ind w:firstLine="640"/>
        <w:jc w:val="left"/>
        <w:rPr>
          <w:rFonts w:ascii="黑体" w:eastAsia="黑体" w:hAnsi="黑体" w:cs="仿宋_GB2312"/>
          <w:szCs w:val="32"/>
        </w:rPr>
      </w:pPr>
      <w:r>
        <w:rPr>
          <w:rFonts w:ascii="黑体" w:eastAsia="黑体" w:hAnsi="黑体" w:cs="仿宋_GB2312" w:hint="eastAsia"/>
          <w:szCs w:val="32"/>
        </w:rPr>
        <w:t>二、制定标准的必要性和意义</w:t>
      </w:r>
    </w:p>
    <w:p w:rsidR="009958E1" w:rsidRDefault="00CF4061">
      <w:pPr>
        <w:autoSpaceDE w:val="0"/>
        <w:autoSpaceDN w:val="0"/>
        <w:adjustRightInd w:val="0"/>
        <w:spacing w:line="560" w:lineRule="exact"/>
        <w:ind w:firstLine="640"/>
        <w:rPr>
          <w:rFonts w:ascii="仿宋_GB2312" w:hAnsi="宋体"/>
          <w:szCs w:val="28"/>
        </w:rPr>
      </w:pPr>
      <w:r>
        <w:rPr>
          <w:rFonts w:ascii="仿宋_GB2312" w:hAnsi="宋体" w:hint="eastAsia"/>
          <w:szCs w:val="28"/>
        </w:rPr>
        <w:t>河流型水牛（学名：</w:t>
      </w:r>
      <w:r>
        <w:rPr>
          <w:rFonts w:ascii="仿宋_GB2312" w:hAnsi="宋体" w:hint="eastAsia"/>
          <w:szCs w:val="28"/>
        </w:rPr>
        <w:t>Bubalusbubalisbubalis</w:t>
      </w:r>
      <w:r>
        <w:rPr>
          <w:rFonts w:ascii="仿宋_GB2312" w:hAnsi="宋体" w:hint="eastAsia"/>
          <w:szCs w:val="28"/>
        </w:rPr>
        <w:t>）作为水牛属两大核心类型之一，与沼泽型水牛存在本质生物学差异，其染色体数为</w:t>
      </w:r>
      <w:r>
        <w:rPr>
          <w:rFonts w:ascii="仿宋_GB2312" w:hAnsi="宋体" w:hint="eastAsia"/>
          <w:szCs w:val="28"/>
        </w:rPr>
        <w:t>50</w:t>
      </w:r>
      <w:r>
        <w:rPr>
          <w:rFonts w:ascii="仿宋_GB2312" w:hAnsi="宋体" w:hint="eastAsia"/>
          <w:szCs w:val="28"/>
        </w:rPr>
        <w:t>条（沼泽型为</w:t>
      </w:r>
      <w:r>
        <w:rPr>
          <w:rFonts w:ascii="仿宋_GB2312" w:hAnsi="宋体" w:hint="eastAsia"/>
          <w:szCs w:val="28"/>
        </w:rPr>
        <w:t>48</w:t>
      </w:r>
      <w:r>
        <w:rPr>
          <w:rFonts w:ascii="仿宋_GB2312" w:hAnsi="宋体" w:hint="eastAsia"/>
          <w:szCs w:val="28"/>
        </w:rPr>
        <w:t>条），成年体重可达</w:t>
      </w:r>
      <w:r>
        <w:rPr>
          <w:rFonts w:ascii="仿宋_GB2312" w:hAnsi="宋体" w:hint="eastAsia"/>
          <w:szCs w:val="28"/>
        </w:rPr>
        <w:t>600</w:t>
      </w:r>
      <w:r>
        <w:rPr>
          <w:rFonts w:ascii="仿宋_GB2312" w:hAnsi="宋体" w:hint="eastAsia"/>
          <w:szCs w:val="28"/>
        </w:rPr>
        <w:t>～</w:t>
      </w:r>
      <w:r>
        <w:rPr>
          <w:rFonts w:ascii="仿宋_GB2312" w:hAnsi="宋体" w:hint="eastAsia"/>
          <w:szCs w:val="28"/>
        </w:rPr>
        <w:t>700kg</w:t>
      </w:r>
      <w:r>
        <w:rPr>
          <w:rFonts w:ascii="仿宋_GB2312" w:hAnsi="宋体" w:hint="eastAsia"/>
          <w:szCs w:val="28"/>
        </w:rPr>
        <w:t>，显著高于沼泽型的</w:t>
      </w:r>
      <w:r>
        <w:rPr>
          <w:rFonts w:ascii="仿宋_GB2312" w:hAnsi="宋体" w:hint="eastAsia"/>
          <w:szCs w:val="28"/>
        </w:rPr>
        <w:t>400</w:t>
      </w:r>
      <w:r>
        <w:rPr>
          <w:rFonts w:ascii="仿宋_GB2312" w:hAnsi="宋体" w:hint="eastAsia"/>
          <w:szCs w:val="28"/>
        </w:rPr>
        <w:t>～</w:t>
      </w:r>
      <w:r>
        <w:rPr>
          <w:rFonts w:ascii="仿宋_GB2312" w:hAnsi="宋体" w:hint="eastAsia"/>
          <w:szCs w:val="28"/>
        </w:rPr>
        <w:t>500kg</w:t>
      </w:r>
      <w:r>
        <w:rPr>
          <w:rFonts w:ascii="仿宋_GB2312" w:hAnsi="宋体" w:hint="eastAsia"/>
          <w:szCs w:val="28"/>
        </w:rPr>
        <w:t>，且脸型狭长、双角卷曲、皮肤多呈黑色，兼具耐热耐粗饲的环境适应性与突出的乳肉生产性能——年产奶量达</w:t>
      </w:r>
      <w:r>
        <w:rPr>
          <w:rFonts w:ascii="仿宋_GB2312" w:hAnsi="宋体" w:hint="eastAsia"/>
          <w:szCs w:val="28"/>
        </w:rPr>
        <w:t>2500</w:t>
      </w:r>
      <w:r>
        <w:rPr>
          <w:rFonts w:ascii="仿宋_GB2312" w:hAnsi="宋体" w:hint="eastAsia"/>
          <w:szCs w:val="28"/>
        </w:rPr>
        <w:t>～</w:t>
      </w:r>
      <w:r>
        <w:rPr>
          <w:rFonts w:ascii="仿宋_GB2312" w:hAnsi="宋体" w:hint="eastAsia"/>
          <w:szCs w:val="28"/>
        </w:rPr>
        <w:t>4000kg</w:t>
      </w:r>
      <w:r>
        <w:rPr>
          <w:rFonts w:ascii="仿宋_GB2312" w:hAnsi="宋体" w:hint="eastAsia"/>
          <w:szCs w:val="28"/>
        </w:rPr>
        <w:t>，是沼泽型的</w:t>
      </w:r>
      <w:r>
        <w:rPr>
          <w:rFonts w:ascii="仿宋_GB2312" w:hAnsi="宋体" w:hint="eastAsia"/>
          <w:szCs w:val="28"/>
        </w:rPr>
        <w:t>3</w:t>
      </w:r>
      <w:r>
        <w:rPr>
          <w:rFonts w:ascii="仿宋_GB2312" w:hAnsi="宋体" w:hint="eastAsia"/>
          <w:szCs w:val="28"/>
        </w:rPr>
        <w:t>～</w:t>
      </w:r>
      <w:r>
        <w:rPr>
          <w:rFonts w:ascii="仿宋_GB2312" w:hAnsi="宋体" w:hint="eastAsia"/>
          <w:szCs w:val="28"/>
        </w:rPr>
        <w:t>5</w:t>
      </w:r>
      <w:r>
        <w:rPr>
          <w:rFonts w:ascii="仿宋_GB2312" w:hAnsi="宋体" w:hint="eastAsia"/>
          <w:szCs w:val="28"/>
        </w:rPr>
        <w:t>倍，同时肌肉纤维细腻、肉品质优，成为兼具乳用和肉用价值的特色品种。我国通过长期引种驯化已形成稳定种群，广西水牛研究所作为</w:t>
      </w:r>
      <w:r>
        <w:rPr>
          <w:rFonts w:ascii="仿宋_GB2312" w:hAnsi="宋体" w:hint="eastAsia"/>
          <w:szCs w:val="28"/>
        </w:rPr>
        <w:t>全国最大纯种繁育基地，存栏摩拉、尼里</w:t>
      </w:r>
      <w:r>
        <w:rPr>
          <w:rFonts w:ascii="仿宋_GB2312" w:hAnsi="宋体" w:hint="eastAsia"/>
          <w:szCs w:val="28"/>
        </w:rPr>
        <w:t>/</w:t>
      </w:r>
      <w:r>
        <w:rPr>
          <w:rFonts w:ascii="仿宋_GB2312" w:hAnsi="宋体" w:hint="eastAsia"/>
          <w:szCs w:val="28"/>
        </w:rPr>
        <w:t>拉菲等河流型水牛</w:t>
      </w:r>
      <w:r>
        <w:rPr>
          <w:rFonts w:ascii="仿宋_GB2312" w:hAnsi="宋体" w:hint="eastAsia"/>
          <w:szCs w:val="28"/>
        </w:rPr>
        <w:t>450</w:t>
      </w:r>
      <w:r>
        <w:rPr>
          <w:rFonts w:ascii="仿宋_GB2312" w:hAnsi="宋体" w:hint="eastAsia"/>
          <w:szCs w:val="28"/>
        </w:rPr>
        <w:t>头，年供种</w:t>
      </w:r>
      <w:r>
        <w:rPr>
          <w:rFonts w:ascii="仿宋_GB2312" w:hAnsi="宋体" w:hint="eastAsia"/>
          <w:szCs w:val="28"/>
        </w:rPr>
        <w:t>200</w:t>
      </w:r>
      <w:r>
        <w:rPr>
          <w:rFonts w:ascii="仿宋_GB2312" w:hAnsi="宋体" w:hint="eastAsia"/>
          <w:szCs w:val="28"/>
        </w:rPr>
        <w:t>～</w:t>
      </w:r>
      <w:r>
        <w:rPr>
          <w:rFonts w:ascii="仿宋_GB2312" w:hAnsi="宋体" w:hint="eastAsia"/>
          <w:szCs w:val="28"/>
        </w:rPr>
        <w:t>250</w:t>
      </w:r>
      <w:r>
        <w:rPr>
          <w:rFonts w:ascii="仿宋_GB2312" w:hAnsi="宋体" w:hint="eastAsia"/>
          <w:szCs w:val="28"/>
        </w:rPr>
        <w:t>头，已推广至</w:t>
      </w:r>
      <w:r>
        <w:rPr>
          <w:rFonts w:ascii="仿宋_GB2312" w:hAnsi="宋体" w:hint="eastAsia"/>
          <w:szCs w:val="28"/>
        </w:rPr>
        <w:t>14</w:t>
      </w:r>
      <w:r>
        <w:rPr>
          <w:rFonts w:ascii="仿宋_GB2312" w:hAnsi="宋体" w:hint="eastAsia"/>
          <w:szCs w:val="28"/>
        </w:rPr>
        <w:t>个省区，但其独特的生长发育规律（育肥周期长、营养需求特殊）、环境适应性（喜深水降温、对热应激敏</w:t>
      </w:r>
      <w:r>
        <w:rPr>
          <w:rFonts w:ascii="仿宋_GB2312" w:hAnsi="宋体" w:hint="eastAsia"/>
          <w:szCs w:val="28"/>
        </w:rPr>
        <w:lastRenderedPageBreak/>
        <w:t>感）与生产目标（肉用为主、兼顾品种特性保护），均与传统沼泽型水牛及普通肉牛存在显著区别，这就决定了不能直接套用现有养殖标准，亟需针对性的育肥技术规范，避免因技术不匹配导致品种生产潜力浪费。</w:t>
      </w:r>
    </w:p>
    <w:p w:rsidR="009958E1" w:rsidRDefault="00CF4061">
      <w:pPr>
        <w:autoSpaceDE w:val="0"/>
        <w:autoSpaceDN w:val="0"/>
        <w:adjustRightInd w:val="0"/>
        <w:spacing w:line="560" w:lineRule="exact"/>
        <w:ind w:firstLine="640"/>
        <w:rPr>
          <w:rFonts w:ascii="仿宋_GB2312" w:hAnsi="宋体"/>
          <w:szCs w:val="28"/>
        </w:rPr>
      </w:pPr>
      <w:r>
        <w:rPr>
          <w:rFonts w:ascii="仿宋_GB2312" w:hAnsi="宋体" w:hint="eastAsia"/>
          <w:szCs w:val="28"/>
        </w:rPr>
        <w:t>然而，当前我国河流型水牛育肥产业的现实痛点，进一步倒逼标准化育肥技术体系的建立。从养殖模式来看，行业仍以散户养殖为主，缺乏统一技术指导，部分从业者沿用沼泽型水牛的粗放饲养方式，导致精粗饲料配比失衡，驱虫、健胃等关键环节操作不规范；另有部分从业者盲目借鉴肉牛育肥技术，忽视其耐粗饲特性与热应激防控需求，最终造成育肥周期延长至</w:t>
      </w:r>
      <w:r>
        <w:rPr>
          <w:rFonts w:ascii="仿宋_GB2312" w:hAnsi="宋体" w:hint="eastAsia"/>
          <w:szCs w:val="28"/>
        </w:rPr>
        <w:t>300</w:t>
      </w:r>
      <w:r>
        <w:rPr>
          <w:rFonts w:ascii="仿宋_GB2312" w:hAnsi="宋体" w:hint="eastAsia"/>
          <w:szCs w:val="28"/>
        </w:rPr>
        <w:t>天以上、料肉比偏高，纯种个体出栏体重不足</w:t>
      </w:r>
      <w:r>
        <w:rPr>
          <w:rFonts w:ascii="仿宋_GB2312" w:hAnsi="宋体" w:hint="eastAsia"/>
          <w:szCs w:val="28"/>
        </w:rPr>
        <w:t>500kg</w:t>
      </w:r>
      <w:r>
        <w:rPr>
          <w:rFonts w:ascii="仿宋_GB2312" w:hAnsi="宋体" w:hint="eastAsia"/>
          <w:szCs w:val="28"/>
        </w:rPr>
        <w:t>，未能充分发挥品种应有的生产潜力。在品种改良与育肥技术的衔接上，我国虽已通过杂交改良培育出三品杂水牛等优良群体，但育肥技术未能同步配套</w:t>
      </w:r>
      <w:r>
        <w:rPr>
          <w:rFonts w:ascii="仿宋_GB2312" w:hAnsi="宋体" w:hint="eastAsia"/>
          <w:szCs w:val="28"/>
        </w:rPr>
        <w:t>，杂交后代生长速度快、营养需求更高的特点与现有养殖中维生素、矿物质补充不足的现状形成矛盾，导致热应激下采食量下降</w:t>
      </w:r>
      <w:r>
        <w:rPr>
          <w:rFonts w:ascii="仿宋_GB2312" w:hAnsi="宋体" w:hint="eastAsia"/>
          <w:szCs w:val="28"/>
        </w:rPr>
        <w:t>10</w:t>
      </w:r>
      <w:r>
        <w:rPr>
          <w:rFonts w:ascii="仿宋_GB2312" w:hAnsi="宋体" w:hint="eastAsia"/>
          <w:szCs w:val="28"/>
        </w:rPr>
        <w:t>～</w:t>
      </w:r>
      <w:r>
        <w:rPr>
          <w:rFonts w:ascii="仿宋_GB2312" w:hAnsi="宋体" w:hint="eastAsia"/>
          <w:szCs w:val="28"/>
        </w:rPr>
        <w:t>30%</w:t>
      </w:r>
      <w:r>
        <w:rPr>
          <w:rFonts w:ascii="仿宋_GB2312" w:hAnsi="宋体" w:hint="eastAsia"/>
          <w:szCs w:val="28"/>
        </w:rPr>
        <w:t>，直接影响增重效率，同时寄生虫病（如肝片吸虫病）、口蹄疫等疫病防控缺乏统一流程，进一步制约育肥成活率的提升。产品端则因缺乏统一育肥标准，出现屠宰率偏低（不足</w:t>
      </w:r>
      <w:r>
        <w:rPr>
          <w:rFonts w:ascii="仿宋_GB2312" w:hAnsi="宋体" w:hint="eastAsia"/>
          <w:szCs w:val="28"/>
        </w:rPr>
        <w:t>50%</w:t>
      </w:r>
      <w:r>
        <w:rPr>
          <w:rFonts w:ascii="仿宋_GB2312" w:hAnsi="宋体" w:hint="eastAsia"/>
          <w:szCs w:val="28"/>
        </w:rPr>
        <w:t>）、肉质色泽差异大等问题，部分养殖者违规使用饲料添加剂的行为更影响了产品安全可信度，对比印度、巴基斯坦等国通过标准化育肥使河流型水牛肉成为优质蛋白来源的国际经验，我国产业升级的迫切性愈发凸显。</w:t>
      </w:r>
    </w:p>
    <w:p w:rsidR="009958E1" w:rsidRDefault="00CF4061">
      <w:pPr>
        <w:autoSpaceDE w:val="0"/>
        <w:autoSpaceDN w:val="0"/>
        <w:adjustRightInd w:val="0"/>
        <w:spacing w:line="560" w:lineRule="exact"/>
        <w:ind w:firstLine="640"/>
        <w:rPr>
          <w:rFonts w:ascii="仿宋_GB2312" w:hAnsi="宋体"/>
          <w:szCs w:val="28"/>
        </w:rPr>
      </w:pPr>
      <w:r>
        <w:rPr>
          <w:rFonts w:ascii="仿宋_GB2312" w:hAnsi="宋体" w:hint="eastAsia"/>
          <w:szCs w:val="28"/>
        </w:rPr>
        <w:t>从发展视角来看，制定该团体标准更</w:t>
      </w:r>
      <w:r>
        <w:rPr>
          <w:rFonts w:ascii="仿宋_GB2312" w:hAnsi="宋体" w:hint="eastAsia"/>
          <w:szCs w:val="28"/>
        </w:rPr>
        <w:t>是产业升级与政策导向下的必然需求。国家《“十四五”全国农业农村科技发展规划》</w:t>
      </w:r>
      <w:r>
        <w:rPr>
          <w:rFonts w:ascii="仿宋_GB2312" w:hAnsi="宋体" w:hint="eastAsia"/>
          <w:szCs w:val="28"/>
        </w:rPr>
        <w:lastRenderedPageBreak/>
        <w:t>《全国畜禽标准化规模养殖提升行动方案（</w:t>
      </w:r>
      <w:r>
        <w:rPr>
          <w:rFonts w:ascii="仿宋_GB2312" w:hAnsi="宋体" w:hint="eastAsia"/>
          <w:szCs w:val="28"/>
        </w:rPr>
        <w:t>2023-2025</w:t>
      </w:r>
      <w:r>
        <w:rPr>
          <w:rFonts w:ascii="仿宋_GB2312" w:hAnsi="宋体" w:hint="eastAsia"/>
          <w:szCs w:val="28"/>
        </w:rPr>
        <w:t>年）》均明确要求推进特色畜禽养殖标准化，河流型水牛作为南方地区重点发展的特色品种，其育肥标准化是实现“提质增效”的核心抓手，能够推动养殖模式从“数量增长”向“质量提升”转型。同时，标准化育肥可有效缩短育肥周期（预计从</w:t>
      </w:r>
      <w:r>
        <w:rPr>
          <w:rFonts w:ascii="仿宋_GB2312" w:hAnsi="宋体" w:hint="eastAsia"/>
          <w:szCs w:val="28"/>
        </w:rPr>
        <w:t>300</w:t>
      </w:r>
      <w:r>
        <w:rPr>
          <w:rFonts w:ascii="仿宋_GB2312" w:hAnsi="宋体" w:hint="eastAsia"/>
          <w:szCs w:val="28"/>
        </w:rPr>
        <w:t>天压缩至</w:t>
      </w:r>
      <w:r>
        <w:rPr>
          <w:rFonts w:ascii="仿宋_GB2312" w:hAnsi="宋体" w:hint="eastAsia"/>
          <w:szCs w:val="28"/>
        </w:rPr>
        <w:t>250</w:t>
      </w:r>
      <w:r>
        <w:rPr>
          <w:rFonts w:ascii="仿宋_GB2312" w:hAnsi="宋体" w:hint="eastAsia"/>
          <w:szCs w:val="28"/>
        </w:rPr>
        <w:t>天以内），提高出栏体重（纯种达</w:t>
      </w:r>
      <w:r>
        <w:rPr>
          <w:rFonts w:ascii="仿宋_GB2312" w:hAnsi="宋体" w:hint="eastAsia"/>
          <w:szCs w:val="28"/>
        </w:rPr>
        <w:t>550kg</w:t>
      </w:r>
      <w:r>
        <w:rPr>
          <w:rFonts w:ascii="仿宋_GB2312" w:hAnsi="宋体" w:hint="eastAsia"/>
          <w:szCs w:val="28"/>
        </w:rPr>
        <w:t>以上、杂交种达</w:t>
      </w:r>
      <w:r>
        <w:rPr>
          <w:rFonts w:ascii="仿宋_GB2312" w:hAnsi="宋体" w:hint="eastAsia"/>
          <w:szCs w:val="28"/>
        </w:rPr>
        <w:t>500 kg</w:t>
      </w:r>
      <w:r>
        <w:rPr>
          <w:rFonts w:ascii="仿宋_GB2312" w:hAnsi="宋体" w:hint="eastAsia"/>
          <w:szCs w:val="28"/>
        </w:rPr>
        <w:t>以上），并统一肉质标准（如粗蛋白含量、脂肪沉积率），助力打造高端水牛肉品牌，延</w:t>
      </w:r>
      <w:r>
        <w:rPr>
          <w:rFonts w:ascii="仿宋_GB2312" w:hAnsi="宋体" w:hint="eastAsia"/>
          <w:szCs w:val="28"/>
        </w:rPr>
        <w:t>伸加工、销售产业链，契合乡村振兴背景下特色产业增收的现实需求。此外，该标准的制定还能避免不当饲养导致的品种特性退化，配合疫病防控、饲料安全等配套要求，实现“良种</w:t>
      </w:r>
      <w:r>
        <w:rPr>
          <w:rFonts w:ascii="仿宋_GB2312" w:hAnsi="宋体" w:hint="eastAsia"/>
          <w:szCs w:val="28"/>
        </w:rPr>
        <w:t>+</w:t>
      </w:r>
      <w:r>
        <w:rPr>
          <w:rFonts w:ascii="仿宋_GB2312" w:hAnsi="宋体" w:hint="eastAsia"/>
          <w:szCs w:val="28"/>
        </w:rPr>
        <w:t>良法”的深度融合，为河流型水牛种群扩繁与产业规模化、可持续发展提供坚实的技术保障。</w:t>
      </w:r>
    </w:p>
    <w:p w:rsidR="009958E1" w:rsidRDefault="00CF4061">
      <w:pPr>
        <w:autoSpaceDE w:val="0"/>
        <w:autoSpaceDN w:val="0"/>
        <w:adjustRightInd w:val="0"/>
        <w:spacing w:line="560" w:lineRule="exact"/>
        <w:ind w:firstLine="640"/>
        <w:rPr>
          <w:rFonts w:ascii="仿宋_GB2312" w:hAnsi="宋体"/>
          <w:szCs w:val="28"/>
        </w:rPr>
      </w:pPr>
      <w:r>
        <w:rPr>
          <w:rFonts w:ascii="仿宋_GB2312" w:hAnsi="宋体" w:hint="eastAsia"/>
          <w:szCs w:val="28"/>
        </w:rPr>
        <w:t>因此，通过制定团体标准《河流型水牛及其杂交后代育肥技术规程》，以标准为抓手，统一规范河流型水牛及其杂交后代育肥技术要求，对提高河流型水牛及其杂交后代育肥技术，促进河流型水牛种群扩繁与产业规模化发展具有重要意义。</w:t>
      </w:r>
    </w:p>
    <w:p w:rsidR="009958E1" w:rsidRDefault="00CF4061">
      <w:pPr>
        <w:autoSpaceDE w:val="0"/>
        <w:autoSpaceDN w:val="0"/>
        <w:adjustRightInd w:val="0"/>
        <w:spacing w:line="560" w:lineRule="exact"/>
        <w:ind w:firstLine="640"/>
        <w:jc w:val="left"/>
        <w:rPr>
          <w:rFonts w:ascii="黑体" w:eastAsia="黑体" w:hAnsi="黑体" w:cs="仿宋_GB2312"/>
          <w:szCs w:val="32"/>
        </w:rPr>
      </w:pPr>
      <w:r>
        <w:rPr>
          <w:rFonts w:ascii="黑体" w:eastAsia="黑体" w:hAnsi="黑体" w:cs="仿宋_GB2312" w:hint="eastAsia"/>
          <w:szCs w:val="32"/>
        </w:rPr>
        <w:t>三、主要起草过程</w:t>
      </w:r>
    </w:p>
    <w:p w:rsidR="009958E1" w:rsidRDefault="00CF4061">
      <w:pPr>
        <w:spacing w:line="560" w:lineRule="exact"/>
        <w:ind w:firstLine="643"/>
        <w:rPr>
          <w:rFonts w:ascii="楷体" w:eastAsia="楷体" w:hAnsi="楷体"/>
          <w:szCs w:val="28"/>
        </w:rPr>
      </w:pPr>
      <w:r>
        <w:rPr>
          <w:rFonts w:ascii="楷体" w:eastAsia="楷体" w:hAnsi="楷体" w:cs="仿宋_GB2312" w:hint="eastAsia"/>
          <w:b/>
          <w:szCs w:val="28"/>
        </w:rPr>
        <w:t>（一）成立标准编制工作组</w:t>
      </w:r>
    </w:p>
    <w:p w:rsidR="009958E1" w:rsidRDefault="00CF4061">
      <w:pPr>
        <w:ind w:firstLine="640"/>
        <w:rPr>
          <w:rFonts w:ascii="仿宋_GB2312" w:hAnsi="宋体"/>
          <w:szCs w:val="28"/>
        </w:rPr>
      </w:pPr>
      <w:r>
        <w:rPr>
          <w:rFonts w:ascii="仿宋_GB2312" w:hAnsi="宋体" w:hint="eastAsia"/>
          <w:szCs w:val="28"/>
        </w:rPr>
        <w:t>团体标准《</w:t>
      </w:r>
      <w:r>
        <w:rPr>
          <w:rFonts w:ascii="仿宋_GB2312" w:hAnsi="宋体" w:hint="eastAsia"/>
          <w:szCs w:val="28"/>
        </w:rPr>
        <w:t>河流型水牛及其杂交后代育肥技术规程》项目任务下达后，广西壮族自治区水牛研究所成立了标准编制工作组，起草单位制定了起草编写方案与进度安排，明确任务职责，确定工作技术路线，开展标准研制工作。具体标准编制工作由广西壮族自治区水牛研究所、广西农业工程职业技术学院、广西大学、灵山县农业农村局、广西壮族自治区畜禽品种改良站、灵山县畜</w:t>
      </w:r>
      <w:r>
        <w:rPr>
          <w:rFonts w:ascii="仿宋_GB2312" w:hAnsi="宋体" w:hint="eastAsia"/>
          <w:szCs w:val="28"/>
        </w:rPr>
        <w:lastRenderedPageBreak/>
        <w:t>牧技术服务站、广西灵山百菲奶水牛养殖有限公司、广西皇氏乳业有限公司、中国农业科学院北京畜牧兽医研究所等单位负责人组成的标准编制工作组完成。</w:t>
      </w:r>
    </w:p>
    <w:p w:rsidR="009958E1" w:rsidRDefault="00CF4061">
      <w:pPr>
        <w:ind w:firstLine="640"/>
        <w:rPr>
          <w:rFonts w:ascii="仿宋_GB2312" w:hAnsi="宋体"/>
          <w:szCs w:val="28"/>
        </w:rPr>
      </w:pPr>
      <w:r>
        <w:rPr>
          <w:rFonts w:ascii="仿宋_GB2312" w:hAnsi="宋体" w:hint="eastAsia"/>
          <w:szCs w:val="28"/>
        </w:rPr>
        <w:t>编制工作组下设三个组，分别是资料收集组、草案编写组</w:t>
      </w:r>
      <w:r>
        <w:rPr>
          <w:rFonts w:ascii="仿宋_GB2312" w:hAnsi="宋体" w:hint="eastAsia"/>
          <w:szCs w:val="28"/>
        </w:rPr>
        <w:t>、标准实施组。</w:t>
      </w:r>
    </w:p>
    <w:p w:rsidR="009958E1" w:rsidRDefault="00CF4061">
      <w:pPr>
        <w:ind w:firstLine="640"/>
        <w:rPr>
          <w:rFonts w:ascii="仿宋_GB2312" w:hAnsi="宋体"/>
          <w:szCs w:val="28"/>
        </w:rPr>
      </w:pPr>
      <w:r>
        <w:rPr>
          <w:rFonts w:ascii="仿宋_GB2312" w:hAnsi="宋体" w:hint="eastAsia"/>
          <w:szCs w:val="28"/>
        </w:rPr>
        <w:t>资料收集组负责国内外有关河流型水牛及其杂交后代育肥技术的文献资料的查询、收集和整理工作，查阅前人对河流型水牛及其杂交后代育肥技术的研究情况。</w:t>
      </w:r>
    </w:p>
    <w:p w:rsidR="009958E1" w:rsidRDefault="00CF4061">
      <w:pPr>
        <w:ind w:firstLine="640"/>
        <w:rPr>
          <w:rFonts w:ascii="仿宋_GB2312" w:hAnsi="宋体"/>
          <w:szCs w:val="28"/>
        </w:rPr>
      </w:pPr>
      <w:r>
        <w:rPr>
          <w:rFonts w:ascii="仿宋_GB2312" w:hAnsi="宋体" w:hint="eastAsia"/>
          <w:szCs w:val="28"/>
        </w:rPr>
        <w:t>草案编写组负责起草标准草案、征求意见稿和标准编制说明、送审稿及编制说明的编写工作，包括后期召开征求意见会、网上征求意见，以及标准的不断修改和完善。</w:t>
      </w:r>
    </w:p>
    <w:p w:rsidR="009958E1" w:rsidRDefault="00CF4061">
      <w:pPr>
        <w:ind w:firstLine="640"/>
        <w:rPr>
          <w:rFonts w:ascii="仿宋_GB2312" w:hAnsi="宋体"/>
          <w:szCs w:val="28"/>
        </w:rPr>
      </w:pPr>
      <w:r>
        <w:rPr>
          <w:rFonts w:ascii="仿宋_GB2312" w:hAnsi="宋体" w:hint="eastAsia"/>
          <w:szCs w:val="28"/>
        </w:rPr>
        <w:t>标准实施组负责团体标准《河流型水牛及其杂交后代育肥技术规程》发布后，组织相关单位开展标准宣贯培训会，对标准进行详细解读，让相关人员了解标准，并根据标准对河流型水牛及其杂交后代育肥技术进行规范化操作，并对标准</w:t>
      </w:r>
      <w:r>
        <w:rPr>
          <w:rFonts w:ascii="仿宋_GB2312" w:hAnsi="宋体" w:hint="eastAsia"/>
          <w:szCs w:val="28"/>
        </w:rPr>
        <w:t>实施情况进行总结分析，不断对团体标准提出修正意见。</w:t>
      </w:r>
    </w:p>
    <w:p w:rsidR="009958E1" w:rsidRDefault="00CF4061">
      <w:pPr>
        <w:spacing w:line="560" w:lineRule="exact"/>
        <w:ind w:firstLine="643"/>
        <w:rPr>
          <w:rFonts w:ascii="楷体" w:eastAsia="楷体" w:hAnsi="楷体" w:cs="仿宋_GB2312"/>
          <w:b/>
          <w:szCs w:val="28"/>
        </w:rPr>
      </w:pPr>
      <w:r>
        <w:rPr>
          <w:rFonts w:ascii="楷体" w:eastAsia="楷体" w:hAnsi="楷体" w:cs="仿宋_GB2312" w:hint="eastAsia"/>
          <w:b/>
          <w:szCs w:val="28"/>
        </w:rPr>
        <w:t>（二）收集整理文献资料</w:t>
      </w:r>
    </w:p>
    <w:p w:rsidR="009958E1" w:rsidRDefault="00CF4061">
      <w:pPr>
        <w:ind w:firstLine="640"/>
        <w:rPr>
          <w:rFonts w:ascii="仿宋_GB2312" w:hAnsi="宋体"/>
          <w:szCs w:val="28"/>
          <w:lang w:val="fr-FR"/>
        </w:rPr>
      </w:pPr>
      <w:r>
        <w:rPr>
          <w:rFonts w:ascii="仿宋_GB2312" w:hAnsi="宋体" w:hint="eastAsia"/>
          <w:szCs w:val="28"/>
        </w:rPr>
        <w:t>标准编制工作组收集了国内</w:t>
      </w:r>
      <w:r>
        <w:rPr>
          <w:rFonts w:ascii="宋体" w:hAnsi="宋体" w:cs="宋体" w:hint="eastAsia"/>
        </w:rPr>
        <w:t>“河流型水牛”“水牛</w:t>
      </w:r>
      <w:r>
        <w:rPr>
          <w:rFonts w:ascii="宋体" w:hAnsi="宋体" w:cs="宋体" w:hint="eastAsia"/>
        </w:rPr>
        <w:t xml:space="preserve"> </w:t>
      </w:r>
      <w:r>
        <w:rPr>
          <w:rFonts w:ascii="宋体" w:hAnsi="宋体" w:cs="宋体" w:hint="eastAsia"/>
        </w:rPr>
        <w:t>育肥”“水牛</w:t>
      </w:r>
      <w:r>
        <w:rPr>
          <w:rFonts w:ascii="宋体" w:hAnsi="宋体" w:cs="宋体" w:hint="eastAsia"/>
        </w:rPr>
        <w:t xml:space="preserve"> </w:t>
      </w:r>
      <w:r>
        <w:rPr>
          <w:rFonts w:ascii="宋体" w:hAnsi="宋体" w:cs="宋体" w:hint="eastAsia"/>
        </w:rPr>
        <w:t>养殖”</w:t>
      </w:r>
      <w:r>
        <w:rPr>
          <w:rFonts w:ascii="仿宋_GB2312" w:hAnsi="宋体" w:hint="eastAsia"/>
          <w:szCs w:val="28"/>
        </w:rPr>
        <w:t>的相关资料。主要有</w:t>
      </w:r>
      <w:r>
        <w:rPr>
          <w:rFonts w:ascii="仿宋_GB2312" w:hAnsi="宋体" w:hint="eastAsia"/>
          <w:szCs w:val="28"/>
          <w:lang w:val="fr-FR"/>
        </w:rPr>
        <w:t>：</w:t>
      </w:r>
    </w:p>
    <w:p w:rsidR="009958E1" w:rsidRDefault="00CF4061">
      <w:pPr>
        <w:ind w:firstLine="640"/>
        <w:rPr>
          <w:rFonts w:ascii="仿宋_GB2312" w:hAnsi="宋体"/>
          <w:szCs w:val="28"/>
          <w:lang w:val="fr-FR"/>
        </w:rPr>
      </w:pPr>
      <w:r>
        <w:rPr>
          <w:rFonts w:ascii="仿宋_GB2312" w:hAnsi="宋体" w:hint="eastAsia"/>
          <w:szCs w:val="28"/>
          <w:lang w:val="fr-FR"/>
        </w:rPr>
        <w:t>1</w:t>
      </w:r>
      <w:r>
        <w:rPr>
          <w:rFonts w:ascii="仿宋_GB2312" w:hAnsi="宋体" w:hint="eastAsia"/>
          <w:szCs w:val="28"/>
          <w:lang w:val="fr-FR"/>
        </w:rPr>
        <w:t>、相关标准</w:t>
      </w:r>
    </w:p>
    <w:p w:rsidR="009958E1" w:rsidRDefault="00CF4061">
      <w:pPr>
        <w:ind w:firstLine="640"/>
        <w:rPr>
          <w:rFonts w:ascii="仿宋_GB2312" w:hAnsi="宋体"/>
          <w:szCs w:val="28"/>
          <w:lang w:val="fr-FR"/>
        </w:rPr>
      </w:pPr>
      <w:r>
        <w:rPr>
          <w:rFonts w:ascii="仿宋_GB2312" w:hAnsi="宋体" w:hint="eastAsia"/>
          <w:szCs w:val="28"/>
          <w:lang w:val="fr-FR"/>
        </w:rPr>
        <w:t>《</w:t>
      </w:r>
      <w:r>
        <w:rPr>
          <w:rFonts w:ascii="仿宋_GB2312" w:hAnsi="宋体" w:hint="eastAsia"/>
          <w:szCs w:val="28"/>
          <w:lang w:val="fr-FR"/>
        </w:rPr>
        <w:t xml:space="preserve">DB3411/T 0046-2024  </w:t>
      </w:r>
      <w:r>
        <w:rPr>
          <w:rFonts w:ascii="仿宋_GB2312" w:hAnsi="宋体" w:hint="eastAsia"/>
          <w:szCs w:val="28"/>
          <w:lang w:val="fr-FR"/>
        </w:rPr>
        <w:t>江淮水牛育肥技术规程》</w:t>
      </w:r>
    </w:p>
    <w:p w:rsidR="009958E1" w:rsidRDefault="00CF4061">
      <w:pPr>
        <w:ind w:firstLine="640"/>
        <w:rPr>
          <w:rFonts w:ascii="仿宋_GB2312" w:hAnsi="宋体"/>
          <w:szCs w:val="28"/>
          <w:lang w:val="fr-FR"/>
        </w:rPr>
      </w:pPr>
      <w:r>
        <w:rPr>
          <w:rFonts w:ascii="仿宋_GB2312" w:hAnsi="宋体" w:hint="eastAsia"/>
          <w:szCs w:val="28"/>
          <w:lang w:val="fr-FR"/>
        </w:rPr>
        <w:t>《</w:t>
      </w:r>
      <w:r>
        <w:rPr>
          <w:rFonts w:ascii="仿宋_GB2312" w:hAnsi="宋体" w:hint="eastAsia"/>
          <w:szCs w:val="28"/>
          <w:lang w:val="fr-FR"/>
        </w:rPr>
        <w:t xml:space="preserve">DB50/T 1625-2024  </w:t>
      </w:r>
      <w:r>
        <w:rPr>
          <w:rFonts w:ascii="仿宋_GB2312" w:hAnsi="宋体" w:hint="eastAsia"/>
          <w:szCs w:val="28"/>
          <w:lang w:val="fr-FR"/>
        </w:rPr>
        <w:t>涪陵水牛育肥技术规范》</w:t>
      </w:r>
    </w:p>
    <w:p w:rsidR="009958E1" w:rsidRDefault="00CF4061">
      <w:pPr>
        <w:ind w:firstLine="640"/>
        <w:rPr>
          <w:rFonts w:ascii="仿宋_GB2312" w:hAnsi="宋体"/>
          <w:szCs w:val="28"/>
          <w:lang w:val="fr-FR"/>
        </w:rPr>
      </w:pPr>
      <w:r>
        <w:rPr>
          <w:rFonts w:ascii="仿宋_GB2312" w:hAnsi="宋体" w:hint="eastAsia"/>
          <w:szCs w:val="28"/>
          <w:lang w:val="fr-FR"/>
        </w:rPr>
        <w:lastRenderedPageBreak/>
        <w:t>《</w:t>
      </w:r>
      <w:r>
        <w:rPr>
          <w:rFonts w:ascii="仿宋_GB2312" w:hAnsi="宋体" w:hint="eastAsia"/>
          <w:szCs w:val="28"/>
          <w:lang w:val="fr-FR"/>
        </w:rPr>
        <w:t xml:space="preserve">DB53/T 344.4-2011  </w:t>
      </w:r>
      <w:r>
        <w:rPr>
          <w:rFonts w:ascii="仿宋_GB2312" w:hAnsi="宋体" w:hint="eastAsia"/>
          <w:szCs w:val="28"/>
          <w:lang w:val="fr-FR"/>
        </w:rPr>
        <w:t>奶水牛养殖</w:t>
      </w:r>
      <w:r>
        <w:rPr>
          <w:rFonts w:ascii="仿宋_GB2312" w:hAnsi="宋体" w:hint="eastAsia"/>
          <w:szCs w:val="28"/>
          <w:lang w:val="fr-FR"/>
        </w:rPr>
        <w:t xml:space="preserve"> </w:t>
      </w:r>
      <w:r>
        <w:rPr>
          <w:rFonts w:ascii="仿宋_GB2312" w:hAnsi="宋体" w:hint="eastAsia"/>
          <w:szCs w:val="28"/>
          <w:lang w:val="fr-FR"/>
        </w:rPr>
        <w:t>第</w:t>
      </w:r>
      <w:r>
        <w:rPr>
          <w:rFonts w:ascii="仿宋_GB2312" w:hAnsi="宋体" w:hint="eastAsia"/>
          <w:szCs w:val="28"/>
          <w:lang w:val="fr-FR"/>
        </w:rPr>
        <w:t>4</w:t>
      </w:r>
      <w:r>
        <w:rPr>
          <w:rFonts w:ascii="仿宋_GB2312" w:hAnsi="宋体" w:hint="eastAsia"/>
          <w:szCs w:val="28"/>
          <w:lang w:val="fr-FR"/>
        </w:rPr>
        <w:t>部分：</w:t>
      </w:r>
      <w:r>
        <w:rPr>
          <w:rFonts w:ascii="仿宋_GB2312" w:hAnsi="宋体" w:hint="eastAsia"/>
          <w:szCs w:val="28"/>
          <w:lang w:val="fr-FR"/>
        </w:rPr>
        <w:t xml:space="preserve"> </w:t>
      </w:r>
      <w:r>
        <w:rPr>
          <w:rFonts w:ascii="仿宋_GB2312" w:hAnsi="宋体" w:hint="eastAsia"/>
          <w:szCs w:val="28"/>
          <w:lang w:val="fr-FR"/>
        </w:rPr>
        <w:t>养殖技术》</w:t>
      </w:r>
    </w:p>
    <w:p w:rsidR="009958E1" w:rsidRDefault="00CF4061">
      <w:pPr>
        <w:ind w:firstLine="640"/>
        <w:rPr>
          <w:rFonts w:ascii="仿宋_GB2312" w:hAnsi="宋体"/>
          <w:szCs w:val="28"/>
          <w:lang w:val="fr-FR"/>
        </w:rPr>
      </w:pPr>
      <w:r>
        <w:rPr>
          <w:rFonts w:ascii="仿宋_GB2312" w:hAnsi="宋体" w:hint="eastAsia"/>
          <w:szCs w:val="28"/>
          <w:lang w:val="fr-FR"/>
        </w:rPr>
        <w:t>《</w:t>
      </w:r>
      <w:r>
        <w:rPr>
          <w:rFonts w:ascii="仿宋_GB2312" w:hAnsi="宋体" w:hint="eastAsia"/>
          <w:szCs w:val="28"/>
          <w:lang w:val="fr-FR"/>
        </w:rPr>
        <w:t xml:space="preserve">DB53/T 344.3-2011  </w:t>
      </w:r>
      <w:r>
        <w:rPr>
          <w:rFonts w:ascii="仿宋_GB2312" w:hAnsi="宋体" w:hint="eastAsia"/>
          <w:szCs w:val="28"/>
          <w:lang w:val="fr-FR"/>
        </w:rPr>
        <w:t>奶水牛养殖</w:t>
      </w:r>
      <w:r>
        <w:rPr>
          <w:rFonts w:ascii="仿宋_GB2312" w:hAnsi="宋体" w:hint="eastAsia"/>
          <w:szCs w:val="28"/>
          <w:lang w:val="fr-FR"/>
        </w:rPr>
        <w:t xml:space="preserve"> </w:t>
      </w:r>
      <w:r>
        <w:rPr>
          <w:rFonts w:ascii="仿宋_GB2312" w:hAnsi="宋体" w:hint="eastAsia"/>
          <w:szCs w:val="28"/>
          <w:lang w:val="fr-FR"/>
        </w:rPr>
        <w:t>第</w:t>
      </w:r>
      <w:r>
        <w:rPr>
          <w:rFonts w:ascii="仿宋_GB2312" w:hAnsi="宋体" w:hint="eastAsia"/>
          <w:szCs w:val="28"/>
          <w:lang w:val="fr-FR"/>
        </w:rPr>
        <w:t>3</w:t>
      </w:r>
      <w:r>
        <w:rPr>
          <w:rFonts w:ascii="仿宋_GB2312" w:hAnsi="宋体" w:hint="eastAsia"/>
          <w:szCs w:val="28"/>
          <w:lang w:val="fr-FR"/>
        </w:rPr>
        <w:t>部分：</w:t>
      </w:r>
      <w:r>
        <w:rPr>
          <w:rFonts w:ascii="仿宋_GB2312" w:hAnsi="宋体" w:hint="eastAsia"/>
          <w:szCs w:val="28"/>
          <w:lang w:val="fr-FR"/>
        </w:rPr>
        <w:t xml:space="preserve"> </w:t>
      </w:r>
      <w:r>
        <w:rPr>
          <w:rFonts w:ascii="仿宋_GB2312" w:hAnsi="宋体" w:hint="eastAsia"/>
          <w:szCs w:val="28"/>
          <w:lang w:val="fr-FR"/>
        </w:rPr>
        <w:t>疫病防治与卫生保健》</w:t>
      </w:r>
    </w:p>
    <w:p w:rsidR="009958E1" w:rsidRDefault="00CF4061">
      <w:pPr>
        <w:ind w:firstLine="640"/>
        <w:rPr>
          <w:rFonts w:ascii="仿宋_GB2312" w:hAnsi="宋体"/>
          <w:szCs w:val="28"/>
          <w:lang w:val="fr-FR"/>
        </w:rPr>
      </w:pPr>
      <w:r>
        <w:rPr>
          <w:rFonts w:ascii="仿宋_GB2312" w:hAnsi="宋体" w:hint="eastAsia"/>
          <w:szCs w:val="28"/>
          <w:lang w:val="fr-FR"/>
        </w:rPr>
        <w:t>《</w:t>
      </w:r>
      <w:r>
        <w:rPr>
          <w:rFonts w:ascii="仿宋_GB2312" w:hAnsi="宋体" w:hint="eastAsia"/>
          <w:szCs w:val="28"/>
          <w:lang w:val="fr-FR"/>
        </w:rPr>
        <w:t xml:space="preserve">DB53/T 344.2-2011  </w:t>
      </w:r>
      <w:r>
        <w:rPr>
          <w:rFonts w:ascii="仿宋_GB2312" w:hAnsi="宋体" w:hint="eastAsia"/>
          <w:szCs w:val="28"/>
          <w:lang w:val="fr-FR"/>
        </w:rPr>
        <w:t>奶水</w:t>
      </w:r>
      <w:r>
        <w:rPr>
          <w:rFonts w:ascii="仿宋_GB2312" w:hAnsi="宋体" w:hint="eastAsia"/>
          <w:szCs w:val="28"/>
          <w:lang w:val="fr-FR"/>
        </w:rPr>
        <w:t>牛养殖</w:t>
      </w:r>
      <w:r>
        <w:rPr>
          <w:rFonts w:ascii="仿宋_GB2312" w:hAnsi="宋体" w:hint="eastAsia"/>
          <w:szCs w:val="28"/>
          <w:lang w:val="fr-FR"/>
        </w:rPr>
        <w:t xml:space="preserve"> </w:t>
      </w:r>
      <w:r>
        <w:rPr>
          <w:rFonts w:ascii="仿宋_GB2312" w:hAnsi="宋体" w:hint="eastAsia"/>
          <w:szCs w:val="28"/>
          <w:lang w:val="fr-FR"/>
        </w:rPr>
        <w:t>第</w:t>
      </w:r>
      <w:r>
        <w:rPr>
          <w:rFonts w:ascii="仿宋_GB2312" w:hAnsi="宋体" w:hint="eastAsia"/>
          <w:szCs w:val="28"/>
          <w:lang w:val="fr-FR"/>
        </w:rPr>
        <w:t>2</w:t>
      </w:r>
      <w:r>
        <w:rPr>
          <w:rFonts w:ascii="仿宋_GB2312" w:hAnsi="宋体" w:hint="eastAsia"/>
          <w:szCs w:val="28"/>
          <w:lang w:val="fr-FR"/>
        </w:rPr>
        <w:t>部分：</w:t>
      </w:r>
      <w:r>
        <w:rPr>
          <w:rFonts w:ascii="仿宋_GB2312" w:hAnsi="宋体" w:hint="eastAsia"/>
          <w:szCs w:val="28"/>
          <w:lang w:val="fr-FR"/>
        </w:rPr>
        <w:t xml:space="preserve"> </w:t>
      </w:r>
      <w:r>
        <w:rPr>
          <w:rFonts w:ascii="仿宋_GB2312" w:hAnsi="宋体" w:hint="eastAsia"/>
          <w:szCs w:val="28"/>
          <w:lang w:val="fr-FR"/>
        </w:rPr>
        <w:t>繁殖技术》</w:t>
      </w:r>
    </w:p>
    <w:p w:rsidR="009958E1" w:rsidRDefault="00CF4061">
      <w:pPr>
        <w:ind w:firstLine="640"/>
        <w:rPr>
          <w:rFonts w:ascii="仿宋_GB2312" w:hAnsi="宋体"/>
          <w:szCs w:val="28"/>
          <w:lang w:val="fr-FR"/>
        </w:rPr>
      </w:pPr>
      <w:r>
        <w:rPr>
          <w:rFonts w:ascii="仿宋_GB2312" w:hAnsi="宋体" w:hint="eastAsia"/>
          <w:szCs w:val="28"/>
          <w:lang w:val="fr-FR"/>
        </w:rPr>
        <w:t>《</w:t>
      </w:r>
      <w:r>
        <w:rPr>
          <w:rFonts w:ascii="仿宋_GB2312" w:hAnsi="宋体" w:hint="eastAsia"/>
          <w:szCs w:val="28"/>
          <w:lang w:val="fr-FR"/>
        </w:rPr>
        <w:t xml:space="preserve">DB53/T 344.1-2011  </w:t>
      </w:r>
      <w:r>
        <w:rPr>
          <w:rFonts w:ascii="仿宋_GB2312" w:hAnsi="宋体" w:hint="eastAsia"/>
          <w:szCs w:val="28"/>
          <w:lang w:val="fr-FR"/>
        </w:rPr>
        <w:t>奶水牛养殖</w:t>
      </w:r>
      <w:r>
        <w:rPr>
          <w:rFonts w:ascii="仿宋_GB2312" w:hAnsi="宋体" w:hint="eastAsia"/>
          <w:szCs w:val="28"/>
          <w:lang w:val="fr-FR"/>
        </w:rPr>
        <w:t xml:space="preserve"> </w:t>
      </w:r>
      <w:r>
        <w:rPr>
          <w:rFonts w:ascii="仿宋_GB2312" w:hAnsi="宋体" w:hint="eastAsia"/>
          <w:szCs w:val="28"/>
          <w:lang w:val="fr-FR"/>
        </w:rPr>
        <w:t>第</w:t>
      </w:r>
      <w:r>
        <w:rPr>
          <w:rFonts w:ascii="仿宋_GB2312" w:hAnsi="宋体" w:hint="eastAsia"/>
          <w:szCs w:val="28"/>
          <w:lang w:val="fr-FR"/>
        </w:rPr>
        <w:t>1</w:t>
      </w:r>
      <w:r>
        <w:rPr>
          <w:rFonts w:ascii="仿宋_GB2312" w:hAnsi="宋体" w:hint="eastAsia"/>
          <w:szCs w:val="28"/>
          <w:lang w:val="fr-FR"/>
        </w:rPr>
        <w:t>部分：</w:t>
      </w:r>
      <w:r>
        <w:rPr>
          <w:rFonts w:ascii="仿宋_GB2312" w:hAnsi="宋体" w:hint="eastAsia"/>
          <w:szCs w:val="28"/>
          <w:lang w:val="fr-FR"/>
        </w:rPr>
        <w:t xml:space="preserve"> </w:t>
      </w:r>
      <w:r>
        <w:rPr>
          <w:rFonts w:ascii="仿宋_GB2312" w:hAnsi="宋体" w:hint="eastAsia"/>
          <w:szCs w:val="28"/>
          <w:lang w:val="fr-FR"/>
        </w:rPr>
        <w:t>饲草饲料》</w:t>
      </w:r>
    </w:p>
    <w:p w:rsidR="009958E1" w:rsidRDefault="00CF4061">
      <w:pPr>
        <w:ind w:firstLine="640"/>
        <w:rPr>
          <w:rFonts w:ascii="仿宋_GB2312" w:hAnsi="宋体"/>
          <w:szCs w:val="28"/>
          <w:lang w:val="fr-FR"/>
        </w:rPr>
      </w:pPr>
      <w:r>
        <w:rPr>
          <w:rFonts w:ascii="仿宋_GB2312" w:hAnsi="宋体" w:hint="eastAsia"/>
          <w:szCs w:val="28"/>
          <w:lang w:val="fr-FR"/>
        </w:rPr>
        <w:t>《</w:t>
      </w:r>
      <w:r>
        <w:rPr>
          <w:rFonts w:ascii="仿宋_GB2312" w:hAnsi="宋体" w:hint="eastAsia"/>
          <w:szCs w:val="28"/>
          <w:lang w:val="fr-FR"/>
        </w:rPr>
        <w:t xml:space="preserve">DB45/T 247-2005  </w:t>
      </w:r>
      <w:r>
        <w:rPr>
          <w:rFonts w:ascii="仿宋_GB2312" w:hAnsi="宋体" w:hint="eastAsia"/>
          <w:szCs w:val="28"/>
          <w:lang w:val="fr-FR"/>
        </w:rPr>
        <w:t>奶水牛养殖技术规范》</w:t>
      </w:r>
    </w:p>
    <w:p w:rsidR="009958E1" w:rsidRDefault="00CF4061">
      <w:pPr>
        <w:ind w:firstLine="640"/>
        <w:rPr>
          <w:rFonts w:ascii="仿宋_GB2312" w:hAnsi="宋体"/>
          <w:szCs w:val="28"/>
          <w:lang w:val="fr-FR"/>
        </w:rPr>
      </w:pPr>
      <w:r>
        <w:rPr>
          <w:rFonts w:ascii="仿宋_GB2312" w:hAnsi="宋体" w:hint="eastAsia"/>
          <w:szCs w:val="28"/>
          <w:lang w:val="fr-FR"/>
        </w:rPr>
        <w:t>2</w:t>
      </w:r>
      <w:r>
        <w:rPr>
          <w:rFonts w:ascii="仿宋_GB2312" w:hAnsi="宋体" w:hint="eastAsia"/>
          <w:szCs w:val="28"/>
          <w:lang w:val="fr-FR"/>
        </w:rPr>
        <w:t>、相关文献</w:t>
      </w:r>
    </w:p>
    <w:p w:rsidR="009958E1" w:rsidRDefault="00CF4061">
      <w:pPr>
        <w:spacing w:line="560" w:lineRule="exact"/>
        <w:ind w:firstLine="640"/>
        <w:rPr>
          <w:rFonts w:ascii="仿宋_GB2312" w:hAnsi="宋体"/>
          <w:szCs w:val="28"/>
        </w:rPr>
      </w:pPr>
      <w:r>
        <w:rPr>
          <w:rFonts w:ascii="仿宋_GB2312" w:hAnsi="宋体" w:hint="eastAsia"/>
          <w:szCs w:val="28"/>
        </w:rPr>
        <w:t xml:space="preserve">[1]  </w:t>
      </w:r>
      <w:r>
        <w:rPr>
          <w:rFonts w:ascii="仿宋_GB2312" w:hAnsi="宋体" w:hint="eastAsia"/>
          <w:szCs w:val="28"/>
        </w:rPr>
        <w:t>韦科龙</w:t>
      </w:r>
      <w:r>
        <w:rPr>
          <w:rFonts w:ascii="仿宋_GB2312" w:hAnsi="宋体" w:hint="eastAsia"/>
          <w:szCs w:val="28"/>
        </w:rPr>
        <w:t>,</w:t>
      </w:r>
      <w:r>
        <w:rPr>
          <w:rFonts w:ascii="仿宋_GB2312" w:hAnsi="宋体" w:hint="eastAsia"/>
          <w:szCs w:val="28"/>
        </w:rPr>
        <w:t>文崇利</w:t>
      </w:r>
      <w:r>
        <w:rPr>
          <w:rFonts w:ascii="仿宋_GB2312" w:hAnsi="宋体" w:hint="eastAsia"/>
          <w:szCs w:val="28"/>
        </w:rPr>
        <w:t>,</w:t>
      </w:r>
      <w:r>
        <w:rPr>
          <w:rFonts w:ascii="仿宋_GB2312" w:hAnsi="宋体" w:hint="eastAsia"/>
          <w:szCs w:val="28"/>
        </w:rPr>
        <w:t>卢瑛</w:t>
      </w:r>
      <w:r>
        <w:rPr>
          <w:rFonts w:ascii="仿宋_GB2312" w:hAnsi="宋体" w:hint="eastAsia"/>
          <w:szCs w:val="28"/>
        </w:rPr>
        <w:t>,</w:t>
      </w:r>
      <w:r>
        <w:rPr>
          <w:rFonts w:ascii="仿宋_GB2312" w:hAnsi="宋体" w:hint="eastAsia"/>
          <w:szCs w:val="28"/>
        </w:rPr>
        <w:t>等</w:t>
      </w:r>
      <w:r>
        <w:rPr>
          <w:rFonts w:ascii="仿宋_GB2312" w:hAnsi="宋体" w:hint="eastAsia"/>
          <w:szCs w:val="28"/>
        </w:rPr>
        <w:t>.</w:t>
      </w:r>
      <w:r>
        <w:rPr>
          <w:rFonts w:ascii="仿宋_GB2312" w:hAnsi="宋体" w:hint="eastAsia"/>
          <w:szCs w:val="28"/>
        </w:rPr>
        <w:t>河流型成年母水牛体重体尺主成分分析</w:t>
      </w:r>
      <w:r>
        <w:rPr>
          <w:rFonts w:ascii="仿宋_GB2312" w:hAnsi="宋体" w:hint="eastAsia"/>
          <w:szCs w:val="28"/>
        </w:rPr>
        <w:t>[J].</w:t>
      </w:r>
      <w:r>
        <w:rPr>
          <w:rFonts w:ascii="仿宋_GB2312" w:hAnsi="宋体" w:hint="eastAsia"/>
          <w:szCs w:val="28"/>
        </w:rPr>
        <w:t>中国畜禽种业</w:t>
      </w:r>
      <w:r>
        <w:rPr>
          <w:rFonts w:ascii="仿宋_GB2312" w:hAnsi="宋体" w:hint="eastAsia"/>
          <w:szCs w:val="28"/>
        </w:rPr>
        <w:t>,2024,20(06):24-31.</w:t>
      </w:r>
    </w:p>
    <w:p w:rsidR="009958E1" w:rsidRDefault="00CF4061">
      <w:pPr>
        <w:spacing w:line="560" w:lineRule="exact"/>
        <w:ind w:firstLine="640"/>
        <w:rPr>
          <w:rFonts w:ascii="仿宋_GB2312" w:hAnsi="宋体"/>
          <w:szCs w:val="28"/>
        </w:rPr>
      </w:pPr>
      <w:r>
        <w:rPr>
          <w:rFonts w:ascii="仿宋_GB2312" w:hAnsi="宋体" w:hint="eastAsia"/>
          <w:szCs w:val="28"/>
        </w:rPr>
        <w:t xml:space="preserve">[2]  </w:t>
      </w:r>
      <w:r>
        <w:rPr>
          <w:rFonts w:ascii="仿宋_GB2312" w:hAnsi="宋体" w:hint="eastAsia"/>
          <w:szCs w:val="28"/>
        </w:rPr>
        <w:t>卢瑛</w:t>
      </w:r>
      <w:r>
        <w:rPr>
          <w:rFonts w:ascii="仿宋_GB2312" w:hAnsi="宋体" w:hint="eastAsia"/>
          <w:szCs w:val="28"/>
        </w:rPr>
        <w:t>,</w:t>
      </w:r>
      <w:r>
        <w:rPr>
          <w:rFonts w:ascii="仿宋_GB2312" w:hAnsi="宋体" w:hint="eastAsia"/>
          <w:szCs w:val="28"/>
        </w:rPr>
        <w:t>韦科龙</w:t>
      </w:r>
      <w:r>
        <w:rPr>
          <w:rFonts w:ascii="仿宋_GB2312" w:hAnsi="宋体" w:hint="eastAsia"/>
          <w:szCs w:val="28"/>
        </w:rPr>
        <w:t>,</w:t>
      </w:r>
      <w:r>
        <w:rPr>
          <w:rFonts w:ascii="仿宋_GB2312" w:hAnsi="宋体" w:hint="eastAsia"/>
          <w:szCs w:val="28"/>
        </w:rPr>
        <w:t>李治培</w:t>
      </w:r>
      <w:r>
        <w:rPr>
          <w:rFonts w:ascii="仿宋_GB2312" w:hAnsi="宋体" w:hint="eastAsia"/>
          <w:szCs w:val="28"/>
        </w:rPr>
        <w:t>,</w:t>
      </w:r>
      <w:r>
        <w:rPr>
          <w:rFonts w:ascii="仿宋_GB2312" w:hAnsi="宋体" w:hint="eastAsia"/>
          <w:szCs w:val="28"/>
        </w:rPr>
        <w:t>等</w:t>
      </w:r>
      <w:r>
        <w:rPr>
          <w:rFonts w:ascii="仿宋_GB2312" w:hAnsi="宋体" w:hint="eastAsia"/>
          <w:szCs w:val="28"/>
        </w:rPr>
        <w:t>.</w:t>
      </w:r>
      <w:r>
        <w:rPr>
          <w:rFonts w:ascii="仿宋_GB2312" w:hAnsi="宋体" w:hint="eastAsia"/>
          <w:szCs w:val="28"/>
        </w:rPr>
        <w:t>河流型水牛奶体细胞数影响因素分析</w:t>
      </w:r>
      <w:r>
        <w:rPr>
          <w:rFonts w:ascii="仿宋_GB2312" w:hAnsi="宋体" w:hint="eastAsia"/>
          <w:szCs w:val="28"/>
        </w:rPr>
        <w:t>[J].</w:t>
      </w:r>
      <w:r>
        <w:rPr>
          <w:rFonts w:ascii="仿宋_GB2312" w:hAnsi="宋体" w:hint="eastAsia"/>
          <w:szCs w:val="28"/>
        </w:rPr>
        <w:t>中国畜牧杂志</w:t>
      </w:r>
      <w:r>
        <w:rPr>
          <w:rFonts w:ascii="仿宋_GB2312" w:hAnsi="宋体" w:hint="eastAsia"/>
          <w:szCs w:val="28"/>
        </w:rPr>
        <w:t>,2021,57(08):107-109+113.</w:t>
      </w:r>
    </w:p>
    <w:p w:rsidR="009958E1" w:rsidRDefault="00CF4061">
      <w:pPr>
        <w:spacing w:line="560" w:lineRule="exact"/>
        <w:ind w:firstLine="640"/>
        <w:rPr>
          <w:rFonts w:ascii="仿宋_GB2312" w:hAnsi="宋体"/>
          <w:szCs w:val="28"/>
        </w:rPr>
      </w:pPr>
      <w:r>
        <w:rPr>
          <w:rFonts w:ascii="仿宋_GB2312" w:hAnsi="宋体" w:hint="eastAsia"/>
          <w:szCs w:val="28"/>
        </w:rPr>
        <w:t xml:space="preserve">[3]  </w:t>
      </w:r>
      <w:r>
        <w:rPr>
          <w:rFonts w:ascii="仿宋_GB2312" w:hAnsi="宋体" w:hint="eastAsia"/>
          <w:szCs w:val="28"/>
        </w:rPr>
        <w:t>钟华配</w:t>
      </w:r>
      <w:r>
        <w:rPr>
          <w:rFonts w:ascii="仿宋_GB2312" w:hAnsi="宋体" w:hint="eastAsia"/>
          <w:szCs w:val="28"/>
        </w:rPr>
        <w:t>,</w:t>
      </w:r>
      <w:r>
        <w:rPr>
          <w:rFonts w:ascii="仿宋_GB2312" w:hAnsi="宋体" w:hint="eastAsia"/>
          <w:szCs w:val="28"/>
        </w:rPr>
        <w:t>韦科龙</w:t>
      </w:r>
      <w:r>
        <w:rPr>
          <w:rFonts w:ascii="仿宋_GB2312" w:hAnsi="宋体" w:hint="eastAsia"/>
          <w:szCs w:val="28"/>
        </w:rPr>
        <w:t>,</w:t>
      </w:r>
      <w:r>
        <w:rPr>
          <w:rFonts w:ascii="仿宋_GB2312" w:hAnsi="宋体" w:hint="eastAsia"/>
          <w:szCs w:val="28"/>
        </w:rPr>
        <w:t>黄健</w:t>
      </w:r>
      <w:r>
        <w:rPr>
          <w:rFonts w:ascii="仿宋_GB2312" w:hAnsi="宋体" w:hint="eastAsia"/>
          <w:szCs w:val="28"/>
        </w:rPr>
        <w:t>,</w:t>
      </w:r>
      <w:r>
        <w:rPr>
          <w:rFonts w:ascii="仿宋_GB2312" w:hAnsi="宋体" w:hint="eastAsia"/>
          <w:szCs w:val="28"/>
        </w:rPr>
        <w:t>等</w:t>
      </w:r>
      <w:r>
        <w:rPr>
          <w:rFonts w:ascii="仿宋_GB2312" w:hAnsi="宋体" w:hint="eastAsia"/>
          <w:szCs w:val="28"/>
        </w:rPr>
        <w:t>.</w:t>
      </w:r>
      <w:r>
        <w:rPr>
          <w:rFonts w:ascii="仿宋_GB2312" w:hAnsi="宋体" w:hint="eastAsia"/>
          <w:szCs w:val="28"/>
        </w:rPr>
        <w:t>河流型杂交公水牛屠宰性能的研究</w:t>
      </w:r>
      <w:r>
        <w:rPr>
          <w:rFonts w:ascii="仿宋_GB2312" w:hAnsi="宋体" w:hint="eastAsia"/>
          <w:szCs w:val="28"/>
        </w:rPr>
        <w:t>[J].</w:t>
      </w:r>
      <w:r>
        <w:rPr>
          <w:rFonts w:ascii="仿宋_GB2312" w:hAnsi="宋体" w:hint="eastAsia"/>
          <w:szCs w:val="28"/>
        </w:rPr>
        <w:t>中国动物保健</w:t>
      </w:r>
      <w:r>
        <w:rPr>
          <w:rFonts w:ascii="仿宋_GB2312" w:hAnsi="宋体" w:hint="eastAsia"/>
          <w:szCs w:val="28"/>
        </w:rPr>
        <w:t>,2021,23(02):91+93.</w:t>
      </w:r>
    </w:p>
    <w:p w:rsidR="009958E1" w:rsidRDefault="00CF4061">
      <w:pPr>
        <w:spacing w:line="560" w:lineRule="exact"/>
        <w:ind w:firstLine="640"/>
        <w:rPr>
          <w:rFonts w:ascii="仿宋_GB2312" w:hAnsi="宋体"/>
          <w:szCs w:val="28"/>
        </w:rPr>
      </w:pPr>
      <w:r>
        <w:rPr>
          <w:rFonts w:ascii="仿宋_GB2312" w:hAnsi="宋体" w:hint="eastAsia"/>
          <w:szCs w:val="28"/>
        </w:rPr>
        <w:t xml:space="preserve">[4]  </w:t>
      </w:r>
      <w:r>
        <w:rPr>
          <w:rFonts w:ascii="仿宋_GB2312" w:hAnsi="宋体" w:hint="eastAsia"/>
          <w:szCs w:val="28"/>
        </w:rPr>
        <w:t>梁辛</w:t>
      </w:r>
      <w:r>
        <w:rPr>
          <w:rFonts w:ascii="仿宋_GB2312" w:hAnsi="宋体" w:hint="eastAsia"/>
          <w:szCs w:val="28"/>
        </w:rPr>
        <w:t>,</w:t>
      </w:r>
      <w:r>
        <w:rPr>
          <w:rFonts w:ascii="仿宋_GB2312" w:hAnsi="宋体" w:hint="eastAsia"/>
          <w:szCs w:val="28"/>
        </w:rPr>
        <w:t>唐振华</w:t>
      </w:r>
      <w:r>
        <w:rPr>
          <w:rFonts w:ascii="仿宋_GB2312" w:hAnsi="宋体" w:hint="eastAsia"/>
          <w:szCs w:val="28"/>
        </w:rPr>
        <w:t>,</w:t>
      </w:r>
      <w:r>
        <w:rPr>
          <w:rFonts w:ascii="仿宋_GB2312" w:hAnsi="宋体" w:hint="eastAsia"/>
          <w:szCs w:val="28"/>
        </w:rPr>
        <w:t>谢华德</w:t>
      </w:r>
      <w:r>
        <w:rPr>
          <w:rFonts w:ascii="仿宋_GB2312" w:hAnsi="宋体" w:hint="eastAsia"/>
          <w:szCs w:val="28"/>
        </w:rPr>
        <w:t>,</w:t>
      </w:r>
      <w:r>
        <w:rPr>
          <w:rFonts w:ascii="仿宋_GB2312" w:hAnsi="宋体" w:hint="eastAsia"/>
          <w:szCs w:val="28"/>
        </w:rPr>
        <w:t>等</w:t>
      </w:r>
      <w:r>
        <w:rPr>
          <w:rFonts w:ascii="仿宋_GB2312" w:hAnsi="宋体" w:hint="eastAsia"/>
          <w:szCs w:val="28"/>
        </w:rPr>
        <w:t>.</w:t>
      </w:r>
      <w:r>
        <w:rPr>
          <w:rFonts w:ascii="仿宋_GB2312" w:hAnsi="宋体" w:hint="eastAsia"/>
          <w:szCs w:val="28"/>
        </w:rPr>
        <w:t>不同处理象草与精料配合方式对青年奶水牛生长性能、肉用性能及血液生化指标的影响</w:t>
      </w:r>
      <w:r>
        <w:rPr>
          <w:rFonts w:ascii="仿宋_GB2312" w:hAnsi="宋体" w:hint="eastAsia"/>
          <w:szCs w:val="28"/>
        </w:rPr>
        <w:t>[J].</w:t>
      </w:r>
      <w:r>
        <w:rPr>
          <w:rFonts w:ascii="仿宋_GB2312" w:hAnsi="宋体" w:hint="eastAsia"/>
          <w:szCs w:val="28"/>
        </w:rPr>
        <w:t>饲料工业</w:t>
      </w:r>
      <w:r>
        <w:rPr>
          <w:rFonts w:ascii="仿宋_GB2312" w:hAnsi="宋体" w:hint="eastAsia"/>
          <w:szCs w:val="28"/>
        </w:rPr>
        <w:t>,2022,43(22):50-54.</w:t>
      </w:r>
    </w:p>
    <w:p w:rsidR="009958E1" w:rsidRDefault="00CF4061">
      <w:pPr>
        <w:spacing w:line="560" w:lineRule="exact"/>
        <w:ind w:firstLine="640"/>
        <w:rPr>
          <w:rFonts w:ascii="仿宋_GB2312" w:hAnsi="宋体"/>
          <w:szCs w:val="28"/>
        </w:rPr>
      </w:pPr>
      <w:r>
        <w:rPr>
          <w:rFonts w:ascii="仿宋_GB2312" w:hAnsi="宋体" w:hint="eastAsia"/>
          <w:szCs w:val="28"/>
        </w:rPr>
        <w:t xml:space="preserve">[5]  </w:t>
      </w:r>
      <w:r>
        <w:rPr>
          <w:rFonts w:ascii="仿宋_GB2312" w:hAnsi="宋体" w:hint="eastAsia"/>
          <w:szCs w:val="28"/>
        </w:rPr>
        <w:t>邱冬文</w:t>
      </w:r>
      <w:r>
        <w:rPr>
          <w:rFonts w:ascii="仿宋_GB2312" w:hAnsi="宋体" w:hint="eastAsia"/>
          <w:szCs w:val="28"/>
        </w:rPr>
        <w:t>,</w:t>
      </w:r>
      <w:r>
        <w:rPr>
          <w:rFonts w:ascii="仿宋_GB2312" w:hAnsi="宋体" w:hint="eastAsia"/>
          <w:szCs w:val="28"/>
        </w:rPr>
        <w:t>文崇利</w:t>
      </w:r>
      <w:r>
        <w:rPr>
          <w:rFonts w:ascii="仿宋_GB2312" w:hAnsi="宋体" w:hint="eastAsia"/>
          <w:szCs w:val="28"/>
        </w:rPr>
        <w:t>,</w:t>
      </w:r>
      <w:r>
        <w:rPr>
          <w:rFonts w:ascii="仿宋_GB2312" w:hAnsi="宋体" w:hint="eastAsia"/>
          <w:szCs w:val="28"/>
        </w:rPr>
        <w:t>卜泽明</w:t>
      </w:r>
      <w:r>
        <w:rPr>
          <w:rFonts w:ascii="仿宋_GB2312" w:hAnsi="宋体" w:hint="eastAsia"/>
          <w:szCs w:val="28"/>
        </w:rPr>
        <w:t>,</w:t>
      </w:r>
      <w:r>
        <w:rPr>
          <w:rFonts w:ascii="仿宋_GB2312" w:hAnsi="宋体" w:hint="eastAsia"/>
          <w:szCs w:val="28"/>
        </w:rPr>
        <w:t>等</w:t>
      </w:r>
      <w:r>
        <w:rPr>
          <w:rFonts w:ascii="仿宋_GB2312" w:hAnsi="宋体" w:hint="eastAsia"/>
          <w:szCs w:val="28"/>
        </w:rPr>
        <w:t>.</w:t>
      </w:r>
      <w:r>
        <w:rPr>
          <w:rFonts w:ascii="仿宋_GB2312" w:hAnsi="宋体" w:hint="eastAsia"/>
          <w:szCs w:val="28"/>
        </w:rPr>
        <w:t>花生藤与青贮玉米组合对生长期水牛能量与氮消化代谢率的影响</w:t>
      </w:r>
      <w:r>
        <w:rPr>
          <w:rFonts w:ascii="仿宋_GB2312" w:hAnsi="宋体" w:hint="eastAsia"/>
          <w:szCs w:val="28"/>
        </w:rPr>
        <w:t>[J].</w:t>
      </w:r>
      <w:r>
        <w:rPr>
          <w:rFonts w:ascii="仿宋_GB2312" w:hAnsi="宋体" w:hint="eastAsia"/>
          <w:szCs w:val="28"/>
        </w:rPr>
        <w:t>饲料研究</w:t>
      </w:r>
      <w:r>
        <w:rPr>
          <w:rFonts w:ascii="仿宋_GB2312" w:hAnsi="宋体" w:hint="eastAsia"/>
          <w:szCs w:val="28"/>
        </w:rPr>
        <w:t>,2025,48(20):1-5.</w:t>
      </w:r>
    </w:p>
    <w:p w:rsidR="009958E1" w:rsidRDefault="00CF4061">
      <w:pPr>
        <w:spacing w:line="560" w:lineRule="exact"/>
        <w:ind w:firstLine="640"/>
        <w:rPr>
          <w:rFonts w:ascii="仿宋_GB2312" w:hAnsi="宋体"/>
          <w:szCs w:val="28"/>
        </w:rPr>
      </w:pPr>
      <w:r>
        <w:rPr>
          <w:rFonts w:ascii="仿宋_GB2312" w:hAnsi="宋体" w:hint="eastAsia"/>
          <w:szCs w:val="28"/>
        </w:rPr>
        <w:t xml:space="preserve">[6]  </w:t>
      </w:r>
      <w:r>
        <w:rPr>
          <w:rFonts w:ascii="仿宋_GB2312" w:hAnsi="宋体" w:hint="eastAsia"/>
          <w:szCs w:val="28"/>
        </w:rPr>
        <w:t>阮莉</w:t>
      </w:r>
      <w:r>
        <w:rPr>
          <w:rFonts w:ascii="宋体" w:eastAsia="宋体" w:hAnsi="宋体" w:cs="宋体" w:hint="eastAsia"/>
          <w:szCs w:val="28"/>
        </w:rPr>
        <w:t>珺</w:t>
      </w:r>
      <w:r>
        <w:rPr>
          <w:rFonts w:ascii="仿宋_GB2312" w:hAnsi="宋体" w:hint="eastAsia"/>
          <w:szCs w:val="28"/>
        </w:rPr>
        <w:t>,</w:t>
      </w:r>
      <w:r>
        <w:rPr>
          <w:rFonts w:ascii="仿宋_GB2312" w:hAnsi="宋体" w:hint="eastAsia"/>
          <w:szCs w:val="28"/>
        </w:rPr>
        <w:t>邓颖朝</w:t>
      </w:r>
      <w:r>
        <w:rPr>
          <w:rFonts w:ascii="仿宋_GB2312" w:hAnsi="宋体" w:hint="eastAsia"/>
          <w:szCs w:val="28"/>
        </w:rPr>
        <w:t>,</w:t>
      </w:r>
      <w:r>
        <w:rPr>
          <w:rFonts w:ascii="仿宋_GB2312" w:hAnsi="宋体" w:hint="eastAsia"/>
          <w:szCs w:val="28"/>
        </w:rPr>
        <w:t>姚毅沛</w:t>
      </w:r>
      <w:r>
        <w:rPr>
          <w:rFonts w:ascii="仿宋_GB2312" w:hAnsi="宋体" w:hint="eastAsia"/>
          <w:szCs w:val="28"/>
        </w:rPr>
        <w:t>,</w:t>
      </w:r>
      <w:r>
        <w:rPr>
          <w:rFonts w:ascii="仿宋_GB2312" w:hAnsi="宋体" w:hint="eastAsia"/>
          <w:szCs w:val="28"/>
        </w:rPr>
        <w:t>等</w:t>
      </w:r>
      <w:r>
        <w:rPr>
          <w:rFonts w:ascii="仿宋_GB2312" w:hAnsi="宋体" w:hint="eastAsia"/>
          <w:szCs w:val="28"/>
        </w:rPr>
        <w:t>.</w:t>
      </w:r>
      <w:r>
        <w:rPr>
          <w:rFonts w:ascii="仿宋_GB2312" w:hAnsi="宋体" w:hint="eastAsia"/>
          <w:szCs w:val="28"/>
        </w:rPr>
        <w:t>饲粮粗蛋白质水平对</w:t>
      </w:r>
      <w:r>
        <w:rPr>
          <w:rFonts w:ascii="仿宋_GB2312" w:hAnsi="宋体" w:hint="eastAsia"/>
          <w:szCs w:val="28"/>
        </w:rPr>
        <w:t>5</w:t>
      </w:r>
      <w:r>
        <w:rPr>
          <w:rFonts w:ascii="仿宋_GB2312" w:hAnsi="宋体" w:hint="eastAsia"/>
          <w:szCs w:val="28"/>
        </w:rPr>
        <w:t>～</w:t>
      </w:r>
      <w:r>
        <w:rPr>
          <w:rFonts w:ascii="仿宋_GB2312" w:hAnsi="宋体" w:hint="eastAsia"/>
          <w:szCs w:val="28"/>
        </w:rPr>
        <w:t>9</w:t>
      </w:r>
      <w:r>
        <w:rPr>
          <w:rFonts w:ascii="仿宋_GB2312" w:hAnsi="宋体" w:hint="eastAsia"/>
          <w:szCs w:val="28"/>
        </w:rPr>
        <w:t>月龄生长水牛生长性能、养分表观消化率和瘤胃发酵参数的影响及其可消化粗蛋白质需要量的预测</w:t>
      </w:r>
      <w:r>
        <w:rPr>
          <w:rFonts w:ascii="仿宋_GB2312" w:hAnsi="宋体" w:hint="eastAsia"/>
          <w:szCs w:val="28"/>
        </w:rPr>
        <w:t>[J].</w:t>
      </w:r>
      <w:r>
        <w:rPr>
          <w:rFonts w:ascii="仿宋_GB2312" w:hAnsi="宋体" w:hint="eastAsia"/>
          <w:szCs w:val="28"/>
        </w:rPr>
        <w:t>动物营养学报</w:t>
      </w:r>
      <w:r>
        <w:rPr>
          <w:rFonts w:ascii="仿宋_GB2312" w:hAnsi="宋体" w:hint="eastAsia"/>
          <w:szCs w:val="28"/>
        </w:rPr>
        <w:t>,2024,36(06):3713-3724.</w:t>
      </w:r>
    </w:p>
    <w:p w:rsidR="009958E1" w:rsidRDefault="00CF4061">
      <w:pPr>
        <w:spacing w:line="560" w:lineRule="exact"/>
        <w:ind w:firstLine="640"/>
        <w:rPr>
          <w:rFonts w:ascii="仿宋_GB2312" w:hAnsi="宋体"/>
          <w:szCs w:val="28"/>
        </w:rPr>
      </w:pPr>
      <w:r>
        <w:rPr>
          <w:rFonts w:ascii="仿宋_GB2312" w:hAnsi="宋体" w:hint="eastAsia"/>
          <w:szCs w:val="28"/>
        </w:rPr>
        <w:t xml:space="preserve">[7]  </w:t>
      </w:r>
      <w:r>
        <w:rPr>
          <w:rFonts w:ascii="仿宋_GB2312" w:hAnsi="宋体" w:hint="eastAsia"/>
          <w:szCs w:val="28"/>
        </w:rPr>
        <w:t>梁辛</w:t>
      </w:r>
      <w:r>
        <w:rPr>
          <w:rFonts w:ascii="仿宋_GB2312" w:hAnsi="宋体" w:hint="eastAsia"/>
          <w:szCs w:val="28"/>
        </w:rPr>
        <w:t>,</w:t>
      </w:r>
      <w:r>
        <w:rPr>
          <w:rFonts w:ascii="仿宋_GB2312" w:hAnsi="宋体" w:hint="eastAsia"/>
          <w:szCs w:val="28"/>
        </w:rPr>
        <w:t>李孟伟</w:t>
      </w:r>
      <w:r>
        <w:rPr>
          <w:rFonts w:ascii="仿宋_GB2312" w:hAnsi="宋体" w:hint="eastAsia"/>
          <w:szCs w:val="28"/>
        </w:rPr>
        <w:t>,</w:t>
      </w:r>
      <w:r>
        <w:rPr>
          <w:rFonts w:ascii="仿宋_GB2312" w:hAnsi="宋体" w:hint="eastAsia"/>
          <w:szCs w:val="28"/>
        </w:rPr>
        <w:t>杨承剑</w:t>
      </w:r>
      <w:r>
        <w:rPr>
          <w:rFonts w:ascii="仿宋_GB2312" w:hAnsi="宋体" w:hint="eastAsia"/>
          <w:szCs w:val="28"/>
        </w:rPr>
        <w:t>,</w:t>
      </w:r>
      <w:r>
        <w:rPr>
          <w:rFonts w:ascii="仿宋_GB2312" w:hAnsi="宋体" w:hint="eastAsia"/>
          <w:szCs w:val="28"/>
        </w:rPr>
        <w:t>等</w:t>
      </w:r>
      <w:r>
        <w:rPr>
          <w:rFonts w:ascii="仿宋_GB2312" w:hAnsi="宋体" w:hint="eastAsia"/>
          <w:szCs w:val="28"/>
        </w:rPr>
        <w:t>.</w:t>
      </w:r>
      <w:r>
        <w:rPr>
          <w:rFonts w:ascii="仿宋_GB2312" w:hAnsi="宋体" w:hint="eastAsia"/>
          <w:szCs w:val="28"/>
        </w:rPr>
        <w:t>饲喂不同处理象草对育成奶</w:t>
      </w:r>
      <w:r>
        <w:rPr>
          <w:rFonts w:ascii="仿宋_GB2312" w:hAnsi="宋体" w:hint="eastAsia"/>
          <w:szCs w:val="28"/>
        </w:rPr>
        <w:lastRenderedPageBreak/>
        <w:t>水牛生长发育、肉用性能及血液生化指标的影响</w:t>
      </w:r>
      <w:r>
        <w:rPr>
          <w:rFonts w:ascii="仿宋_GB2312" w:hAnsi="宋体" w:hint="eastAsia"/>
          <w:szCs w:val="28"/>
        </w:rPr>
        <w:t>[J].</w:t>
      </w:r>
      <w:r>
        <w:rPr>
          <w:rFonts w:ascii="仿宋_GB2312" w:hAnsi="宋体" w:hint="eastAsia"/>
          <w:szCs w:val="28"/>
        </w:rPr>
        <w:t>饲料研究</w:t>
      </w:r>
      <w:r>
        <w:rPr>
          <w:rFonts w:ascii="仿宋_GB2312" w:hAnsi="宋体" w:hint="eastAsia"/>
          <w:szCs w:val="28"/>
        </w:rPr>
        <w:t>,2020,43(01):5-7.</w:t>
      </w:r>
    </w:p>
    <w:p w:rsidR="009958E1" w:rsidRDefault="00CF4061">
      <w:pPr>
        <w:spacing w:line="560" w:lineRule="exact"/>
        <w:ind w:firstLine="643"/>
        <w:rPr>
          <w:rFonts w:ascii="楷体" w:eastAsia="楷体" w:hAnsi="楷体" w:cs="仿宋_GB2312"/>
          <w:b/>
          <w:szCs w:val="28"/>
        </w:rPr>
      </w:pPr>
      <w:r>
        <w:rPr>
          <w:rFonts w:ascii="楷体" w:eastAsia="楷体" w:hAnsi="楷体" w:cs="仿宋_GB2312" w:hint="eastAsia"/>
          <w:b/>
          <w:szCs w:val="28"/>
        </w:rPr>
        <w:t>（三）研讨确定标准特色、创新点和主要内容</w:t>
      </w:r>
    </w:p>
    <w:p w:rsidR="009958E1" w:rsidRDefault="00CF4061">
      <w:pPr>
        <w:spacing w:line="560" w:lineRule="exact"/>
        <w:ind w:firstLine="640"/>
        <w:rPr>
          <w:rFonts w:ascii="仿宋_GB2312" w:hAnsi="宋体"/>
          <w:szCs w:val="28"/>
        </w:rPr>
      </w:pPr>
      <w:r>
        <w:rPr>
          <w:rFonts w:ascii="仿宋_GB2312" w:hAnsi="宋体" w:hint="eastAsia"/>
          <w:szCs w:val="28"/>
        </w:rPr>
        <w:t>1</w:t>
      </w:r>
      <w:r>
        <w:rPr>
          <w:rFonts w:ascii="仿宋_GB2312" w:hAnsi="宋体" w:hint="eastAsia"/>
          <w:szCs w:val="28"/>
        </w:rPr>
        <w:t>、特色及创新点</w:t>
      </w:r>
    </w:p>
    <w:p w:rsidR="009958E1" w:rsidRDefault="00CF4061">
      <w:pPr>
        <w:spacing w:line="560" w:lineRule="exact"/>
        <w:ind w:firstLine="640"/>
        <w:rPr>
          <w:rFonts w:ascii="仿宋_GB2312" w:hAnsi="宋体"/>
          <w:szCs w:val="28"/>
        </w:rPr>
      </w:pPr>
      <w:r>
        <w:rPr>
          <w:rFonts w:ascii="仿宋_GB2312" w:hAnsi="宋体" w:hint="eastAsia"/>
          <w:szCs w:val="28"/>
        </w:rPr>
        <w:t>（</w:t>
      </w:r>
      <w:r>
        <w:rPr>
          <w:rFonts w:ascii="仿宋_GB2312" w:hAnsi="宋体" w:hint="eastAsia"/>
          <w:szCs w:val="28"/>
        </w:rPr>
        <w:t>1</w:t>
      </w:r>
      <w:r>
        <w:rPr>
          <w:rFonts w:ascii="仿宋_GB2312" w:hAnsi="宋体" w:hint="eastAsia"/>
          <w:szCs w:val="28"/>
        </w:rPr>
        <w:t>）针对河流型水牛（</w:t>
      </w:r>
      <w:r>
        <w:rPr>
          <w:rFonts w:ascii="仿宋_GB2312" w:hAnsi="宋体" w:hint="eastAsia"/>
          <w:szCs w:val="28"/>
        </w:rPr>
        <w:t>50</w:t>
      </w:r>
      <w:r>
        <w:rPr>
          <w:rFonts w:ascii="仿宋_GB2312" w:hAnsi="宋体" w:hint="eastAsia"/>
          <w:szCs w:val="28"/>
        </w:rPr>
        <w:t>条染色体，与沼泽型水牛本质差异）的生理特性，制定专属育肥方案，明确断奶牛</w:t>
      </w:r>
      <w:r>
        <w:rPr>
          <w:rFonts w:ascii="仿宋_GB2312" w:hAnsi="宋体" w:hint="eastAsia"/>
          <w:szCs w:val="28"/>
        </w:rPr>
        <w:t>、架子牛、淘汰母牛），并按“前期长骨架、中期育肌肉、后期堆脂肪”划分育肥阶段，精准设定各阶段精粗比、粗蛋白占比等。创新点：突破现有标准仅覆盖沼泽型水牛（江淮水牛、涪陵水牛）的局限，首次为河流型水牛提供专属育肥技术规范，填补该亚种高效育肥标准领域的空白，解决其长期无标可循的行业困境。</w:t>
      </w:r>
    </w:p>
    <w:p w:rsidR="009958E1" w:rsidRDefault="00CF4061">
      <w:pPr>
        <w:spacing w:line="560" w:lineRule="exact"/>
        <w:ind w:firstLine="640"/>
        <w:rPr>
          <w:rFonts w:ascii="仿宋_GB2312" w:hAnsi="宋体"/>
          <w:szCs w:val="28"/>
        </w:rPr>
      </w:pPr>
      <w:r>
        <w:rPr>
          <w:rFonts w:ascii="仿宋_GB2312" w:hAnsi="宋体" w:hint="eastAsia"/>
          <w:szCs w:val="28"/>
        </w:rPr>
        <w:t>（</w:t>
      </w:r>
      <w:r>
        <w:rPr>
          <w:rFonts w:ascii="仿宋_GB2312" w:hAnsi="宋体" w:hint="eastAsia"/>
          <w:szCs w:val="28"/>
        </w:rPr>
        <w:t>2</w:t>
      </w:r>
      <w:r>
        <w:rPr>
          <w:rFonts w:ascii="仿宋_GB2312" w:hAnsi="宋体" w:hint="eastAsia"/>
          <w:szCs w:val="28"/>
        </w:rPr>
        <w:t>）采用“本地特色粗饲料</w:t>
      </w:r>
      <w:r>
        <w:rPr>
          <w:rFonts w:ascii="仿宋_GB2312" w:hAnsi="宋体" w:hint="eastAsia"/>
          <w:szCs w:val="28"/>
        </w:rPr>
        <w:t>+</w:t>
      </w:r>
      <w:r>
        <w:rPr>
          <w:rFonts w:ascii="仿宋_GB2312" w:hAnsi="宋体" w:hint="eastAsia"/>
          <w:szCs w:val="28"/>
        </w:rPr>
        <w:t>精准配比”模式，优先选用象草、甘蔗尾叶、菠萝皮、花生藤等当地易得粗饲料，搭配豆粕、微量元素及添加剂制成全混合日粮（</w:t>
      </w:r>
      <w:r>
        <w:rPr>
          <w:rFonts w:ascii="仿宋_GB2312" w:hAnsi="宋体" w:hint="eastAsia"/>
          <w:szCs w:val="28"/>
        </w:rPr>
        <w:t>TMR</w:t>
      </w:r>
      <w:r>
        <w:rPr>
          <w:rFonts w:ascii="仿宋_GB2312" w:hAnsi="宋体" w:hint="eastAsia"/>
          <w:szCs w:val="28"/>
        </w:rPr>
        <w:t>），既符合</w:t>
      </w:r>
      <w:r>
        <w:rPr>
          <w:rFonts w:ascii="仿宋_GB2312" w:hAnsi="宋体" w:hint="eastAsia"/>
          <w:szCs w:val="28"/>
        </w:rPr>
        <w:t>GB 13078</w:t>
      </w:r>
      <w:r>
        <w:rPr>
          <w:rFonts w:ascii="仿宋_GB2312" w:hAnsi="宋体" w:hint="eastAsia"/>
          <w:szCs w:val="28"/>
        </w:rPr>
        <w:t>饲料卫生标准，又适配河流型水牛耐粗饲特性（粗饲料占比</w:t>
      </w:r>
      <w:r>
        <w:rPr>
          <w:rFonts w:ascii="仿宋_GB2312" w:hAnsi="宋体" w:hint="eastAsia"/>
          <w:szCs w:val="28"/>
        </w:rPr>
        <w:t>6</w:t>
      </w:r>
      <w:r>
        <w:rPr>
          <w:rFonts w:ascii="仿宋_GB2312" w:hAnsi="宋体" w:hint="eastAsia"/>
          <w:szCs w:val="28"/>
        </w:rPr>
        <w:t>0%-80%</w:t>
      </w:r>
      <w:r>
        <w:rPr>
          <w:rFonts w:ascii="仿宋_GB2312" w:hAnsi="宋体" w:hint="eastAsia"/>
          <w:szCs w:val="28"/>
        </w:rPr>
        <w:t>）。创新点：充分发挥河流型水牛耐粗饲、饲料转化率高的优势，将农业废弃物（如玉米杆、小麦秆）资源化利用，降低养殖成本；全混合日粮技术的应用避免了传统饲喂的营养失衡问题，兼顾适口性与营养精准度，契合规模化养殖需求。</w:t>
      </w:r>
    </w:p>
    <w:p w:rsidR="009958E1" w:rsidRDefault="00CF4061">
      <w:pPr>
        <w:spacing w:line="560" w:lineRule="exact"/>
        <w:ind w:firstLine="640"/>
        <w:rPr>
          <w:rFonts w:ascii="仿宋_GB2312" w:hAnsi="宋体"/>
          <w:szCs w:val="28"/>
        </w:rPr>
      </w:pPr>
      <w:r>
        <w:rPr>
          <w:rFonts w:ascii="仿宋_GB2312" w:hAnsi="宋体" w:hint="eastAsia"/>
          <w:szCs w:val="28"/>
        </w:rPr>
        <w:t>（</w:t>
      </w:r>
      <w:r>
        <w:rPr>
          <w:rFonts w:ascii="仿宋_GB2312" w:hAnsi="宋体" w:hint="eastAsia"/>
          <w:szCs w:val="28"/>
        </w:rPr>
        <w:t>3</w:t>
      </w:r>
      <w:r>
        <w:rPr>
          <w:rFonts w:ascii="仿宋_GB2312" w:hAnsi="宋体" w:hint="eastAsia"/>
          <w:szCs w:val="28"/>
        </w:rPr>
        <w:t>）构建“饲养</w:t>
      </w:r>
      <w:r>
        <w:rPr>
          <w:rFonts w:ascii="仿宋_GB2312" w:hAnsi="宋体" w:hint="eastAsia"/>
          <w:szCs w:val="28"/>
        </w:rPr>
        <w:t>-</w:t>
      </w:r>
      <w:r>
        <w:rPr>
          <w:rFonts w:ascii="仿宋_GB2312" w:hAnsi="宋体" w:hint="eastAsia"/>
          <w:szCs w:val="28"/>
        </w:rPr>
        <w:t>防疫</w:t>
      </w:r>
      <w:r>
        <w:rPr>
          <w:rFonts w:ascii="仿宋_GB2312" w:hAnsi="宋体" w:hint="eastAsia"/>
          <w:szCs w:val="28"/>
        </w:rPr>
        <w:t>-</w:t>
      </w:r>
      <w:r>
        <w:rPr>
          <w:rFonts w:ascii="仿宋_GB2312" w:hAnsi="宋体" w:hint="eastAsia"/>
          <w:szCs w:val="28"/>
        </w:rPr>
        <w:t>无害化</w:t>
      </w:r>
      <w:r>
        <w:rPr>
          <w:rFonts w:ascii="仿宋_GB2312" w:hAnsi="宋体" w:hint="eastAsia"/>
          <w:szCs w:val="28"/>
        </w:rPr>
        <w:t>-</w:t>
      </w:r>
      <w:r>
        <w:rPr>
          <w:rFonts w:ascii="仿宋_GB2312" w:hAnsi="宋体" w:hint="eastAsia"/>
          <w:szCs w:val="28"/>
        </w:rPr>
        <w:t>档案”全链条管理体系，明确出栏标准（纯种</w:t>
      </w:r>
      <w:r>
        <w:rPr>
          <w:rFonts w:ascii="仿宋_GB2312" w:hAnsi="宋体" w:hint="eastAsia"/>
          <w:szCs w:val="28"/>
        </w:rPr>
        <w:t>600kg</w:t>
      </w:r>
      <w:r>
        <w:rPr>
          <w:rFonts w:ascii="仿宋_GB2312" w:hAnsi="宋体" w:hint="eastAsia"/>
          <w:szCs w:val="28"/>
        </w:rPr>
        <w:t>、杂种</w:t>
      </w:r>
      <w:r>
        <w:rPr>
          <w:rFonts w:ascii="仿宋_GB2312" w:hAnsi="宋体" w:hint="eastAsia"/>
          <w:szCs w:val="28"/>
        </w:rPr>
        <w:t>650kg</w:t>
      </w:r>
      <w:r>
        <w:rPr>
          <w:rFonts w:ascii="仿宋_GB2312" w:hAnsi="宋体" w:hint="eastAsia"/>
          <w:szCs w:val="28"/>
        </w:rPr>
        <w:t>以上），保障育肥效率与产品一致性。</w:t>
      </w:r>
    </w:p>
    <w:p w:rsidR="009958E1" w:rsidRDefault="00CF4061">
      <w:pPr>
        <w:spacing w:line="560" w:lineRule="exact"/>
        <w:ind w:firstLine="640"/>
        <w:rPr>
          <w:rFonts w:ascii="仿宋_GB2312" w:hAnsi="宋体"/>
          <w:szCs w:val="28"/>
        </w:rPr>
      </w:pPr>
      <w:r>
        <w:rPr>
          <w:rFonts w:ascii="仿宋_GB2312" w:hAnsi="宋体" w:hint="eastAsia"/>
          <w:szCs w:val="28"/>
        </w:rPr>
        <w:t>2</w:t>
      </w:r>
      <w:r>
        <w:rPr>
          <w:rFonts w:ascii="仿宋_GB2312" w:hAnsi="宋体" w:hint="eastAsia"/>
          <w:szCs w:val="28"/>
        </w:rPr>
        <w:t>、主体内容</w:t>
      </w:r>
    </w:p>
    <w:p w:rsidR="009958E1" w:rsidRDefault="00CF4061">
      <w:pPr>
        <w:spacing w:line="560" w:lineRule="exact"/>
        <w:ind w:firstLine="640"/>
        <w:rPr>
          <w:rFonts w:ascii="仿宋_GB2312" w:hAnsi="宋体"/>
          <w:szCs w:val="28"/>
        </w:rPr>
      </w:pPr>
      <w:r>
        <w:rPr>
          <w:rFonts w:ascii="仿宋_GB2312" w:hAnsi="宋体" w:hint="eastAsia"/>
          <w:szCs w:val="28"/>
        </w:rPr>
        <w:t>标准编制工作组在对收集的资料进行整理研究之后，</w:t>
      </w:r>
      <w:r>
        <w:rPr>
          <w:rFonts w:ascii="仿宋_GB2312" w:hAnsi="宋体" w:hint="eastAsia"/>
          <w:szCs w:val="28"/>
        </w:rPr>
        <w:t>2025</w:t>
      </w:r>
      <w:r>
        <w:rPr>
          <w:rFonts w:ascii="仿宋_GB2312" w:hAnsi="宋体" w:hint="eastAsia"/>
          <w:szCs w:val="28"/>
        </w:rPr>
        <w:t>年</w:t>
      </w:r>
      <w:r>
        <w:rPr>
          <w:rFonts w:ascii="仿宋_GB2312" w:hAnsi="宋体" w:hint="eastAsia"/>
          <w:szCs w:val="28"/>
        </w:rPr>
        <w:lastRenderedPageBreak/>
        <w:t>12</w:t>
      </w:r>
      <w:r>
        <w:rPr>
          <w:rFonts w:ascii="仿宋_GB2312" w:hAnsi="宋体" w:hint="eastAsia"/>
          <w:szCs w:val="28"/>
        </w:rPr>
        <w:t>月，标准编制工作组召开了标准编制会议，对标准的整体框架结构进行了研究，并对标准的</w:t>
      </w:r>
      <w:r>
        <w:rPr>
          <w:rFonts w:ascii="仿宋_GB2312" w:hAnsi="宋体" w:hint="eastAsia"/>
          <w:szCs w:val="28"/>
        </w:rPr>
        <w:t>关键性内容进行了初步探讨。经过研究，标准的主体内容确定为术语和定义、</w:t>
      </w:r>
      <w:r>
        <w:rPr>
          <w:rFonts w:hint="eastAsia"/>
          <w:color w:val="000000" w:themeColor="text1"/>
        </w:rPr>
        <w:t>参测要求、测定内容与方法、测定流程管理、数据采集与管理、测定结果分析与应用</w:t>
      </w:r>
      <w:r>
        <w:rPr>
          <w:rFonts w:ascii="仿宋_GB2312" w:hAnsi="宋体" w:hint="eastAsia"/>
          <w:szCs w:val="28"/>
        </w:rPr>
        <w:t>。</w:t>
      </w:r>
    </w:p>
    <w:p w:rsidR="009958E1" w:rsidRDefault="00CF4061">
      <w:pPr>
        <w:spacing w:line="560" w:lineRule="exact"/>
        <w:ind w:firstLine="643"/>
        <w:rPr>
          <w:rFonts w:ascii="楷体" w:eastAsia="楷体" w:hAnsi="楷体" w:cs="仿宋_GB2312"/>
          <w:b/>
          <w:szCs w:val="28"/>
        </w:rPr>
      </w:pPr>
      <w:r>
        <w:rPr>
          <w:rFonts w:ascii="楷体" w:eastAsia="楷体" w:hAnsi="楷体" w:cs="仿宋_GB2312" w:hint="eastAsia"/>
          <w:b/>
          <w:szCs w:val="28"/>
        </w:rPr>
        <w:t>（四）调研及形成草案、征求意见稿</w:t>
      </w:r>
    </w:p>
    <w:p w:rsidR="009958E1" w:rsidRDefault="00CF4061">
      <w:pPr>
        <w:ind w:firstLine="640"/>
        <w:rPr>
          <w:rFonts w:ascii="宋体" w:hAnsi="宋体" w:cs="宋体"/>
          <w:bCs/>
          <w:szCs w:val="21"/>
        </w:rPr>
      </w:pPr>
      <w:r>
        <w:rPr>
          <w:rFonts w:ascii="仿宋_GB2312" w:hAnsi="宋体" w:hint="eastAsia"/>
          <w:szCs w:val="28"/>
        </w:rPr>
        <w:t>2025</w:t>
      </w:r>
      <w:r>
        <w:rPr>
          <w:rFonts w:ascii="仿宋_GB2312" w:hAnsi="宋体" w:hint="eastAsia"/>
          <w:szCs w:val="28"/>
        </w:rPr>
        <w:t>年</w:t>
      </w:r>
      <w:r>
        <w:rPr>
          <w:rFonts w:ascii="仿宋_GB2312" w:hAnsi="宋体" w:hint="eastAsia"/>
          <w:szCs w:val="28"/>
        </w:rPr>
        <w:t>12</w:t>
      </w:r>
      <w:r>
        <w:rPr>
          <w:rFonts w:ascii="仿宋_GB2312" w:hAnsi="宋体" w:hint="eastAsia"/>
          <w:szCs w:val="28"/>
        </w:rPr>
        <w:t>月，标准起草工作小组进行了广泛调研工作，查阅了大量的国内外文献资料，对河流型水牛及其杂交后代育肥技术规程的前人研究成果进行系统总结。形成了标准的基本构架，对主要内容进行了讨论并对项目的工作进行了部署和安排。</w:t>
      </w:r>
    </w:p>
    <w:p w:rsidR="009958E1" w:rsidRDefault="00CF4061">
      <w:pPr>
        <w:ind w:firstLine="640"/>
        <w:rPr>
          <w:rFonts w:ascii="仿宋_GB2312" w:hAnsi="宋体"/>
          <w:szCs w:val="28"/>
        </w:rPr>
      </w:pPr>
      <w:r>
        <w:rPr>
          <w:rFonts w:ascii="仿宋_GB2312" w:hAnsi="宋体" w:hint="eastAsia"/>
          <w:szCs w:val="28"/>
        </w:rPr>
        <w:t>2026</w:t>
      </w:r>
      <w:r>
        <w:rPr>
          <w:rFonts w:ascii="仿宋_GB2312" w:hAnsi="宋体" w:hint="eastAsia"/>
          <w:szCs w:val="28"/>
        </w:rPr>
        <w:t>年</w:t>
      </w:r>
      <w:r>
        <w:rPr>
          <w:rFonts w:ascii="仿宋_GB2312" w:hAnsi="宋体" w:hint="eastAsia"/>
          <w:szCs w:val="28"/>
        </w:rPr>
        <w:t>1</w:t>
      </w:r>
      <w:r>
        <w:rPr>
          <w:rFonts w:ascii="仿宋_GB2312" w:hAnsi="宋体" w:hint="eastAsia"/>
          <w:szCs w:val="28"/>
        </w:rPr>
        <w:t>月，在前期工作的基础之上，通过理清逻辑脉络，整合已有的参考资料中有关河流型水牛及其杂交后代育肥技术</w:t>
      </w:r>
      <w:r>
        <w:rPr>
          <w:rFonts w:ascii="仿宋_GB2312" w:hAnsi="宋体" w:hint="eastAsia"/>
          <w:szCs w:val="28"/>
        </w:rPr>
        <w:t>规程要求，并结合河流型水牛及其杂交后代育肥技术规程实际要求的基础上，按照简化、统一等原则编制完成团体标准《河流型水牛及其杂交后代育肥技术规程》（草案）。</w:t>
      </w:r>
    </w:p>
    <w:p w:rsidR="009958E1" w:rsidRDefault="00CF4061">
      <w:pPr>
        <w:autoSpaceDE w:val="0"/>
        <w:autoSpaceDN w:val="0"/>
        <w:adjustRightInd w:val="0"/>
        <w:spacing w:line="600" w:lineRule="exact"/>
        <w:ind w:firstLine="640"/>
        <w:rPr>
          <w:rFonts w:ascii="仿宋_GB2312" w:hAnsi="宋体"/>
          <w:szCs w:val="28"/>
        </w:rPr>
      </w:pPr>
      <w:r>
        <w:rPr>
          <w:rFonts w:ascii="仿宋_GB2312" w:hAnsi="宋体" w:hint="eastAsia"/>
          <w:szCs w:val="28"/>
        </w:rPr>
        <w:t>2026</w:t>
      </w:r>
      <w:r>
        <w:rPr>
          <w:rFonts w:ascii="仿宋_GB2312" w:hAnsi="宋体" w:hint="eastAsia"/>
          <w:szCs w:val="28"/>
        </w:rPr>
        <w:t>年</w:t>
      </w:r>
      <w:r>
        <w:rPr>
          <w:rFonts w:ascii="仿宋_GB2312" w:hAnsi="宋体" w:hint="eastAsia"/>
          <w:szCs w:val="28"/>
        </w:rPr>
        <w:t>2</w:t>
      </w:r>
      <w:r>
        <w:rPr>
          <w:rFonts w:ascii="仿宋_GB2312" w:hAnsi="宋体" w:hint="eastAsia"/>
          <w:szCs w:val="28"/>
        </w:rPr>
        <w:t>月～</w:t>
      </w:r>
      <w:r>
        <w:rPr>
          <w:rFonts w:ascii="仿宋_GB2312" w:hAnsi="宋体" w:hint="eastAsia"/>
          <w:szCs w:val="28"/>
        </w:rPr>
        <w:t>3</w:t>
      </w:r>
      <w:r>
        <w:rPr>
          <w:rFonts w:ascii="仿宋_GB2312" w:hAnsi="宋体" w:hint="eastAsia"/>
          <w:szCs w:val="28"/>
        </w:rPr>
        <w:t>月，标准起草工作组召集</w:t>
      </w:r>
      <w:r>
        <w:rPr>
          <w:rFonts w:hint="eastAsia"/>
          <w:color w:val="000000" w:themeColor="text1"/>
        </w:rPr>
        <w:t>广西农业工程职业技术学院、广西壮族自治区畜禽品种改良站、灵山农业农村局、灵山县畜牧技术服务站、广西灵山百菲奶水牛养殖有限公司、广西皇氏乳业有限公司、中国农业科学院北京畜牧兽医研究所</w:t>
      </w:r>
      <w:r>
        <w:rPr>
          <w:rFonts w:ascii="宋体" w:hAnsi="宋体" w:cs="宋体" w:hint="eastAsia"/>
          <w:bCs/>
          <w:szCs w:val="21"/>
        </w:rPr>
        <w:t>等</w:t>
      </w:r>
      <w:r>
        <w:rPr>
          <w:rFonts w:ascii="仿宋_GB2312" w:hAnsi="宋体"/>
          <w:szCs w:val="28"/>
        </w:rPr>
        <w:t>相关单位进行调研</w:t>
      </w:r>
      <w:r>
        <w:rPr>
          <w:rFonts w:ascii="仿宋_GB2312" w:hAnsi="宋体" w:hint="eastAsia"/>
          <w:szCs w:val="28"/>
        </w:rPr>
        <w:t>讨论</w:t>
      </w:r>
      <w:r>
        <w:rPr>
          <w:rFonts w:ascii="仿宋_GB2312" w:hAnsi="宋体"/>
          <w:szCs w:val="28"/>
        </w:rPr>
        <w:t>，</w:t>
      </w:r>
      <w:r>
        <w:rPr>
          <w:rFonts w:ascii="仿宋_GB2312" w:hAnsi="宋体" w:hint="eastAsia"/>
          <w:szCs w:val="28"/>
        </w:rPr>
        <w:t>并实际征求意见，通过收集反馈了大量意见，标准编制工作组多次召开会议，对标准草案进行了反复修改和研究讨论。进一步讨论</w:t>
      </w:r>
      <w:r>
        <w:rPr>
          <w:rFonts w:ascii="仿宋_GB2312" w:hAnsi="宋体" w:hint="eastAsia"/>
          <w:szCs w:val="28"/>
        </w:rPr>
        <w:t>完善标准草案，形成团体标准《河流型水牛及其杂交后代育肥技术规程》（征求意见稿）和（征求意见稿）编制说明。</w:t>
      </w:r>
    </w:p>
    <w:p w:rsidR="009958E1" w:rsidRDefault="00CF4061">
      <w:pPr>
        <w:ind w:firstLineChars="0" w:firstLine="0"/>
      </w:pPr>
      <w:r>
        <w:rPr>
          <w:noProof/>
        </w:rPr>
        <w:lastRenderedPageBreak/>
        <w:drawing>
          <wp:inline distT="0" distB="0" distL="0" distR="0">
            <wp:extent cx="2707005" cy="2030730"/>
            <wp:effectExtent l="0" t="0" r="0" b="7620"/>
            <wp:docPr id="8" name="图片 8" descr="D:\我的文档\xwechat_files\wxid_v3j52f42taun22_f98f\temp\RWTemp\2026-03\48573ad5cf5be5b2167f22487bc954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D:\我的文档\xwechat_files\wxid_v3j52f42taun22_f98f\temp\RWTemp\2026-03\48573ad5cf5be5b2167f22487bc954d1.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2720988" cy="2040822"/>
                    </a:xfrm>
                    <a:prstGeom prst="rect">
                      <a:avLst/>
                    </a:prstGeom>
                    <a:noFill/>
                    <a:ln>
                      <a:noFill/>
                    </a:ln>
                  </pic:spPr>
                </pic:pic>
              </a:graphicData>
            </a:graphic>
          </wp:inline>
        </w:drawing>
      </w:r>
      <w:r>
        <w:rPr>
          <w:rFonts w:eastAsia="Times New Roman"/>
          <w:snapToGrid w:val="0"/>
          <w:color w:val="000000"/>
          <w:w w:val="0"/>
          <w:kern w:val="0"/>
          <w:sz w:val="0"/>
          <w:szCs w:val="0"/>
          <w:u w:color="000000"/>
          <w:shd w:val="clear" w:color="000000" w:fill="000000"/>
          <w:lang w:val="zh-CN" w:bidi="zh-CN"/>
        </w:rPr>
        <w:t xml:space="preserve"> </w:t>
      </w:r>
      <w:r>
        <w:rPr>
          <w:noProof/>
        </w:rPr>
        <w:drawing>
          <wp:inline distT="0" distB="0" distL="0" distR="0">
            <wp:extent cx="2743200" cy="2056130"/>
            <wp:effectExtent l="0" t="0" r="0" b="1270"/>
            <wp:docPr id="9" name="图片 9" descr="D:\我的文档\xwechat_files\wxid_v3j52f42taun22_f98f\temp\RWTemp\2026-03\115ed6db36f7fd5e469108bfb97099c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D:\我的文档\xwechat_files\wxid_v3j52f42taun22_f98f\temp\RWTemp\2026-03\115ed6db36f7fd5e469108bfb97099cf.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2746756" cy="2059261"/>
                    </a:xfrm>
                    <a:prstGeom prst="rect">
                      <a:avLst/>
                    </a:prstGeom>
                    <a:noFill/>
                    <a:ln>
                      <a:noFill/>
                    </a:ln>
                  </pic:spPr>
                </pic:pic>
              </a:graphicData>
            </a:graphic>
          </wp:inline>
        </w:drawing>
      </w:r>
    </w:p>
    <w:p w:rsidR="009958E1" w:rsidRDefault="00CF4061">
      <w:pPr>
        <w:ind w:firstLineChars="0" w:firstLine="0"/>
        <w:jc w:val="center"/>
      </w:pPr>
      <w:r>
        <w:rPr>
          <w:rFonts w:hint="eastAsia"/>
        </w:rPr>
        <w:t>调研相关图片</w:t>
      </w:r>
    </w:p>
    <w:p w:rsidR="009958E1" w:rsidRDefault="00CF4061">
      <w:pPr>
        <w:autoSpaceDE w:val="0"/>
        <w:autoSpaceDN w:val="0"/>
        <w:adjustRightInd w:val="0"/>
        <w:ind w:firstLine="640"/>
        <w:jc w:val="left"/>
        <w:rPr>
          <w:rFonts w:eastAsia="黑体"/>
          <w:bCs/>
          <w:szCs w:val="32"/>
        </w:rPr>
      </w:pPr>
      <w:bookmarkStart w:id="1" w:name="_Toc526940083"/>
      <w:r>
        <w:rPr>
          <w:rFonts w:eastAsia="黑体"/>
          <w:bCs/>
          <w:szCs w:val="32"/>
        </w:rPr>
        <w:t>四、</w:t>
      </w:r>
      <w:bookmarkEnd w:id="1"/>
      <w:r>
        <w:rPr>
          <w:rFonts w:eastAsia="黑体"/>
          <w:bCs/>
          <w:szCs w:val="32"/>
        </w:rPr>
        <w:t>制定标准的原则和依据，与现行法律、法规的关系，与有关国家标准、行业标准的协调情况</w:t>
      </w:r>
    </w:p>
    <w:p w:rsidR="009958E1" w:rsidRDefault="00CF4061">
      <w:pPr>
        <w:pStyle w:val="aff"/>
        <w:spacing w:line="560" w:lineRule="exact"/>
        <w:ind w:firstLineChars="0" w:firstLine="0"/>
        <w:outlineLvl w:val="1"/>
        <w:rPr>
          <w:rFonts w:ascii="Times New Roman" w:eastAsia="仿宋"/>
          <w:b/>
          <w:bCs/>
          <w:sz w:val="32"/>
          <w:szCs w:val="32"/>
        </w:rPr>
      </w:pPr>
      <w:r>
        <w:rPr>
          <w:rFonts w:ascii="Times New Roman" w:eastAsia="仿宋"/>
          <w:b/>
          <w:bCs/>
          <w:sz w:val="32"/>
          <w:szCs w:val="32"/>
        </w:rPr>
        <w:t>（一）编制原则</w:t>
      </w:r>
    </w:p>
    <w:p w:rsidR="009958E1" w:rsidRDefault="00CF4061">
      <w:pPr>
        <w:tabs>
          <w:tab w:val="center" w:pos="4201"/>
          <w:tab w:val="right" w:leader="dot" w:pos="9298"/>
        </w:tabs>
        <w:autoSpaceDE w:val="0"/>
        <w:autoSpaceDN w:val="0"/>
        <w:ind w:firstLine="643"/>
        <w:outlineLvl w:val="2"/>
        <w:rPr>
          <w:rFonts w:eastAsia="仿宋"/>
          <w:b/>
          <w:bCs/>
          <w:kern w:val="0"/>
          <w:szCs w:val="32"/>
        </w:rPr>
      </w:pPr>
      <w:r>
        <w:rPr>
          <w:rFonts w:eastAsia="仿宋"/>
          <w:b/>
          <w:bCs/>
          <w:kern w:val="0"/>
          <w:szCs w:val="32"/>
        </w:rPr>
        <w:t>1</w:t>
      </w:r>
      <w:r>
        <w:rPr>
          <w:rFonts w:eastAsia="仿宋" w:hint="eastAsia"/>
          <w:b/>
          <w:bCs/>
          <w:kern w:val="0"/>
          <w:szCs w:val="32"/>
        </w:rPr>
        <w:t>．</w:t>
      </w:r>
      <w:r>
        <w:rPr>
          <w:rFonts w:eastAsia="仿宋"/>
          <w:b/>
          <w:bCs/>
          <w:kern w:val="0"/>
          <w:szCs w:val="32"/>
        </w:rPr>
        <w:t>实用性原则</w:t>
      </w:r>
    </w:p>
    <w:p w:rsidR="009958E1" w:rsidRDefault="00CF4061">
      <w:pPr>
        <w:ind w:firstLine="640"/>
        <w:rPr>
          <w:rFonts w:ascii="仿宋_GB2312" w:hAnsi="宋体"/>
          <w:szCs w:val="28"/>
        </w:rPr>
      </w:pPr>
      <w:r>
        <w:rPr>
          <w:rFonts w:ascii="仿宋_GB2312" w:hAnsi="宋体" w:hint="eastAsia"/>
          <w:szCs w:val="28"/>
        </w:rPr>
        <w:t>本文件是在充分收集相关资料和文献，分析河流型水牛及其杂交后代育肥技术当前现状，在现有相关河流型水牛及其杂交后代育肥技术要求的基础上，结合编制单位</w:t>
      </w:r>
      <w:r>
        <w:rPr>
          <w:rFonts w:ascii="仿宋_GB2312" w:hAnsi="宋体"/>
          <w:szCs w:val="28"/>
        </w:rPr>
        <w:t>多年</w:t>
      </w:r>
      <w:r>
        <w:rPr>
          <w:rFonts w:ascii="仿宋_GB2312" w:hAnsi="宋体" w:hint="eastAsia"/>
          <w:szCs w:val="28"/>
        </w:rPr>
        <w:t>相关经验而总结起草的，符合当前河流型水牛及其杂交后代育肥技术发展的方向，具有较强的实用性和可操作性。</w:t>
      </w:r>
    </w:p>
    <w:p w:rsidR="009958E1" w:rsidRDefault="00CF4061">
      <w:pPr>
        <w:tabs>
          <w:tab w:val="center" w:pos="4201"/>
          <w:tab w:val="right" w:leader="dot" w:pos="9298"/>
        </w:tabs>
        <w:autoSpaceDE w:val="0"/>
        <w:autoSpaceDN w:val="0"/>
        <w:ind w:firstLine="643"/>
        <w:outlineLvl w:val="2"/>
        <w:rPr>
          <w:rFonts w:eastAsia="仿宋"/>
          <w:b/>
          <w:bCs/>
          <w:kern w:val="0"/>
          <w:szCs w:val="32"/>
        </w:rPr>
      </w:pPr>
      <w:r>
        <w:rPr>
          <w:rFonts w:eastAsia="仿宋" w:hint="eastAsia"/>
          <w:b/>
          <w:bCs/>
          <w:kern w:val="0"/>
          <w:szCs w:val="32"/>
        </w:rPr>
        <w:t>2</w:t>
      </w:r>
      <w:r>
        <w:rPr>
          <w:rFonts w:eastAsia="仿宋" w:hint="eastAsia"/>
          <w:b/>
          <w:bCs/>
          <w:kern w:val="0"/>
          <w:szCs w:val="32"/>
        </w:rPr>
        <w:t>．协调性原则</w:t>
      </w:r>
    </w:p>
    <w:p w:rsidR="009958E1" w:rsidRDefault="00CF4061">
      <w:pPr>
        <w:ind w:firstLine="640"/>
        <w:rPr>
          <w:rFonts w:ascii="仿宋_GB2312" w:hAnsi="宋体"/>
          <w:szCs w:val="28"/>
        </w:rPr>
      </w:pPr>
      <w:r>
        <w:rPr>
          <w:rFonts w:ascii="仿宋_GB2312" w:hAnsi="宋体" w:hint="eastAsia"/>
          <w:szCs w:val="28"/>
        </w:rPr>
        <w:t>本文件编写过程中注意了与河流型水牛及其杂交后代育肥技术相关法律法规的协调问题，在内容上与现行法律法规、标准协调一致。</w:t>
      </w:r>
    </w:p>
    <w:p w:rsidR="009958E1" w:rsidRDefault="00CF4061">
      <w:pPr>
        <w:tabs>
          <w:tab w:val="center" w:pos="4201"/>
          <w:tab w:val="right" w:leader="dot" w:pos="9298"/>
        </w:tabs>
        <w:autoSpaceDE w:val="0"/>
        <w:autoSpaceDN w:val="0"/>
        <w:ind w:firstLine="643"/>
        <w:outlineLvl w:val="2"/>
        <w:rPr>
          <w:rFonts w:eastAsia="仿宋"/>
          <w:b/>
          <w:bCs/>
          <w:kern w:val="0"/>
          <w:szCs w:val="32"/>
        </w:rPr>
      </w:pPr>
      <w:r>
        <w:rPr>
          <w:rFonts w:eastAsia="仿宋" w:hint="eastAsia"/>
          <w:b/>
          <w:bCs/>
          <w:kern w:val="0"/>
          <w:szCs w:val="32"/>
        </w:rPr>
        <w:t>3</w:t>
      </w:r>
      <w:r>
        <w:rPr>
          <w:rFonts w:eastAsia="仿宋" w:hint="eastAsia"/>
          <w:b/>
          <w:bCs/>
          <w:kern w:val="0"/>
          <w:szCs w:val="32"/>
        </w:rPr>
        <w:t>．规范性原则</w:t>
      </w:r>
    </w:p>
    <w:p w:rsidR="009958E1" w:rsidRDefault="00CF4061">
      <w:pPr>
        <w:ind w:firstLine="640"/>
        <w:rPr>
          <w:rFonts w:ascii="仿宋_GB2312" w:hAnsi="宋体"/>
          <w:szCs w:val="28"/>
        </w:rPr>
      </w:pPr>
      <w:r>
        <w:rPr>
          <w:rFonts w:ascii="仿宋_GB2312" w:hAnsi="宋体" w:hint="eastAsia"/>
          <w:szCs w:val="28"/>
        </w:rPr>
        <w:t>本文件严格参照</w:t>
      </w:r>
      <w:r>
        <w:rPr>
          <w:rFonts w:ascii="仿宋_GB2312" w:hAnsi="宋体" w:hint="eastAsia"/>
          <w:szCs w:val="28"/>
        </w:rPr>
        <w:t>GB/T 1.1</w:t>
      </w:r>
      <w:r>
        <w:rPr>
          <w:rFonts w:ascii="仿宋_GB2312" w:hAnsi="宋体" w:hint="eastAsia"/>
          <w:szCs w:val="28"/>
        </w:rPr>
        <w:t>—</w:t>
      </w:r>
      <w:r>
        <w:rPr>
          <w:rFonts w:ascii="仿宋_GB2312" w:hAnsi="宋体" w:hint="eastAsia"/>
          <w:szCs w:val="28"/>
        </w:rPr>
        <w:t>2020</w:t>
      </w:r>
      <w:r>
        <w:rPr>
          <w:rFonts w:ascii="仿宋_GB2312" w:hAnsi="宋体" w:hint="eastAsia"/>
          <w:szCs w:val="28"/>
        </w:rPr>
        <w:t>《标准化工作导则</w:t>
      </w:r>
      <w:r>
        <w:rPr>
          <w:rFonts w:ascii="仿宋_GB2312" w:hAnsi="宋体" w:hint="eastAsia"/>
          <w:szCs w:val="28"/>
        </w:rPr>
        <w:t xml:space="preserve">  </w:t>
      </w:r>
      <w:r>
        <w:rPr>
          <w:rFonts w:ascii="仿宋_GB2312" w:hAnsi="宋体" w:hint="eastAsia"/>
          <w:szCs w:val="28"/>
        </w:rPr>
        <w:t>第</w:t>
      </w:r>
      <w:r>
        <w:rPr>
          <w:rFonts w:ascii="仿宋_GB2312" w:hAnsi="宋体" w:hint="eastAsia"/>
          <w:szCs w:val="28"/>
        </w:rPr>
        <w:t>1</w:t>
      </w:r>
      <w:r>
        <w:rPr>
          <w:rFonts w:ascii="仿宋_GB2312" w:hAnsi="宋体" w:hint="eastAsia"/>
          <w:szCs w:val="28"/>
        </w:rPr>
        <w:t>部分：标准化文件的结构和起草规则》编写本标准的内容，保证标</w:t>
      </w:r>
      <w:r>
        <w:rPr>
          <w:rFonts w:ascii="仿宋_GB2312" w:hAnsi="宋体" w:hint="eastAsia"/>
          <w:szCs w:val="28"/>
        </w:rPr>
        <w:lastRenderedPageBreak/>
        <w:t>准的编写质量。</w:t>
      </w:r>
    </w:p>
    <w:p w:rsidR="009958E1" w:rsidRDefault="00CF4061">
      <w:pPr>
        <w:tabs>
          <w:tab w:val="center" w:pos="4201"/>
          <w:tab w:val="right" w:leader="dot" w:pos="9298"/>
        </w:tabs>
        <w:autoSpaceDE w:val="0"/>
        <w:autoSpaceDN w:val="0"/>
        <w:ind w:firstLine="643"/>
        <w:outlineLvl w:val="2"/>
        <w:rPr>
          <w:rFonts w:eastAsia="仿宋"/>
          <w:b/>
          <w:bCs/>
          <w:kern w:val="0"/>
          <w:szCs w:val="32"/>
        </w:rPr>
      </w:pPr>
      <w:r>
        <w:rPr>
          <w:rFonts w:eastAsia="仿宋" w:hint="eastAsia"/>
          <w:b/>
          <w:bCs/>
          <w:kern w:val="0"/>
          <w:szCs w:val="32"/>
        </w:rPr>
        <w:t>4</w:t>
      </w:r>
      <w:r>
        <w:rPr>
          <w:rFonts w:eastAsia="仿宋" w:hint="eastAsia"/>
          <w:b/>
          <w:bCs/>
          <w:kern w:val="0"/>
          <w:szCs w:val="32"/>
        </w:rPr>
        <w:t>．前瞻性原则</w:t>
      </w:r>
    </w:p>
    <w:p w:rsidR="009958E1" w:rsidRDefault="00CF4061">
      <w:pPr>
        <w:ind w:firstLine="640"/>
        <w:rPr>
          <w:rFonts w:ascii="仿宋_GB2312" w:hAnsi="宋体"/>
          <w:szCs w:val="28"/>
        </w:rPr>
      </w:pPr>
      <w:r>
        <w:rPr>
          <w:rFonts w:ascii="仿宋_GB2312" w:hAnsi="宋体" w:hint="eastAsia"/>
          <w:szCs w:val="28"/>
        </w:rPr>
        <w:t>本文件在兼顾当前区内河流型水牛及其杂交后代育肥技术规程现实情况的同时，还考虑到了河流型水牛及其杂交后代育肥技术规程快速发展的趋势和需要，在标准中体现了个别特色性、前瞻性和先进性条款，作为对河流型水牛及其杂交后代育肥技术的指导</w:t>
      </w:r>
      <w:r>
        <w:rPr>
          <w:rFonts w:ascii="仿宋_GB2312" w:hAnsi="宋体" w:hint="eastAsia"/>
          <w:szCs w:val="28"/>
        </w:rPr>
        <w:t>。</w:t>
      </w:r>
    </w:p>
    <w:p w:rsidR="009958E1" w:rsidRDefault="00CF4061">
      <w:pPr>
        <w:widowControl/>
        <w:tabs>
          <w:tab w:val="center" w:pos="4201"/>
          <w:tab w:val="right" w:leader="dot" w:pos="9298"/>
        </w:tabs>
        <w:autoSpaceDE w:val="0"/>
        <w:autoSpaceDN w:val="0"/>
        <w:spacing w:line="560" w:lineRule="exact"/>
        <w:ind w:firstLine="643"/>
        <w:outlineLvl w:val="1"/>
        <w:rPr>
          <w:rFonts w:eastAsia="仿宋"/>
          <w:b/>
          <w:bCs/>
          <w:kern w:val="0"/>
          <w:szCs w:val="32"/>
        </w:rPr>
      </w:pPr>
      <w:r>
        <w:rPr>
          <w:rFonts w:eastAsia="仿宋"/>
          <w:b/>
          <w:bCs/>
          <w:kern w:val="0"/>
          <w:szCs w:val="32"/>
        </w:rPr>
        <w:t>（二）编制依据</w:t>
      </w:r>
    </w:p>
    <w:p w:rsidR="009958E1" w:rsidRDefault="00CF4061">
      <w:pPr>
        <w:ind w:firstLine="640"/>
        <w:rPr>
          <w:rFonts w:ascii="仿宋_GB2312" w:hAnsi="宋体"/>
          <w:szCs w:val="28"/>
        </w:rPr>
      </w:pPr>
      <w:r>
        <w:rPr>
          <w:rFonts w:ascii="仿宋_GB2312" w:hAnsi="宋体"/>
          <w:szCs w:val="28"/>
        </w:rPr>
        <w:t>本标准严格按照</w:t>
      </w:r>
      <w:r>
        <w:rPr>
          <w:rFonts w:ascii="仿宋_GB2312" w:hAnsi="宋体"/>
          <w:szCs w:val="28"/>
        </w:rPr>
        <w:t>GB/T 1.1</w:t>
      </w:r>
      <w:r>
        <w:rPr>
          <w:rFonts w:ascii="仿宋_GB2312" w:hAnsi="宋体"/>
          <w:szCs w:val="28"/>
        </w:rPr>
        <w:t>—</w:t>
      </w:r>
      <w:r>
        <w:rPr>
          <w:rFonts w:ascii="仿宋_GB2312" w:hAnsi="宋体"/>
          <w:szCs w:val="28"/>
        </w:rPr>
        <w:t>2020</w:t>
      </w:r>
      <w:r>
        <w:rPr>
          <w:rFonts w:ascii="仿宋_GB2312" w:hAnsi="宋体"/>
          <w:szCs w:val="28"/>
        </w:rPr>
        <w:t>《标准化工作导则</w:t>
      </w:r>
      <w:r>
        <w:rPr>
          <w:rFonts w:ascii="仿宋_GB2312" w:hAnsi="宋体"/>
          <w:szCs w:val="28"/>
        </w:rPr>
        <w:t xml:space="preserve">  </w:t>
      </w:r>
      <w:r>
        <w:rPr>
          <w:rFonts w:ascii="仿宋_GB2312" w:hAnsi="宋体"/>
          <w:szCs w:val="28"/>
        </w:rPr>
        <w:t>第</w:t>
      </w:r>
      <w:r>
        <w:rPr>
          <w:rFonts w:ascii="仿宋_GB2312" w:hAnsi="宋体"/>
          <w:szCs w:val="28"/>
        </w:rPr>
        <w:t>1</w:t>
      </w:r>
      <w:r>
        <w:rPr>
          <w:rFonts w:ascii="仿宋_GB2312" w:hAnsi="宋体"/>
          <w:szCs w:val="28"/>
        </w:rPr>
        <w:t>部分：标准化文件的结构和起草规则》的规则起草，标准主要内容参考相关标准文件并结合起草单位多年的</w:t>
      </w:r>
      <w:r>
        <w:rPr>
          <w:rFonts w:ascii="仿宋_GB2312" w:hAnsi="宋体" w:hint="eastAsia"/>
          <w:szCs w:val="28"/>
        </w:rPr>
        <w:t>相关</w:t>
      </w:r>
      <w:r>
        <w:rPr>
          <w:rFonts w:ascii="仿宋_GB2312" w:hAnsi="宋体"/>
          <w:szCs w:val="28"/>
        </w:rPr>
        <w:t>经验</w:t>
      </w:r>
      <w:r>
        <w:rPr>
          <w:rFonts w:ascii="仿宋_GB2312" w:hAnsi="宋体" w:hint="eastAsia"/>
          <w:szCs w:val="28"/>
        </w:rPr>
        <w:t>和实践</w:t>
      </w:r>
      <w:r>
        <w:rPr>
          <w:rFonts w:ascii="仿宋_GB2312" w:hAnsi="宋体"/>
          <w:szCs w:val="28"/>
        </w:rPr>
        <w:t>验证情况总结进行起草。</w:t>
      </w:r>
    </w:p>
    <w:p w:rsidR="009958E1" w:rsidRDefault="00CF4061">
      <w:pPr>
        <w:widowControl/>
        <w:tabs>
          <w:tab w:val="center" w:pos="4201"/>
          <w:tab w:val="right" w:leader="dot" w:pos="9298"/>
        </w:tabs>
        <w:autoSpaceDE w:val="0"/>
        <w:autoSpaceDN w:val="0"/>
        <w:spacing w:line="560" w:lineRule="exact"/>
        <w:ind w:firstLine="643"/>
        <w:outlineLvl w:val="1"/>
        <w:rPr>
          <w:rFonts w:eastAsia="仿宋"/>
          <w:b/>
          <w:bCs/>
          <w:kern w:val="0"/>
          <w:szCs w:val="32"/>
        </w:rPr>
      </w:pPr>
      <w:r>
        <w:rPr>
          <w:rFonts w:eastAsia="仿宋"/>
          <w:b/>
          <w:bCs/>
          <w:kern w:val="0"/>
          <w:szCs w:val="32"/>
        </w:rPr>
        <w:t>（三）与现行法律、法规的关系，与有关国家标准、行业标准的协调情况</w:t>
      </w:r>
    </w:p>
    <w:p w:rsidR="009958E1" w:rsidRDefault="00CF4061">
      <w:pPr>
        <w:ind w:firstLine="640"/>
        <w:rPr>
          <w:rFonts w:ascii="仿宋_GB2312" w:hAnsi="宋体"/>
          <w:szCs w:val="28"/>
        </w:rPr>
      </w:pPr>
      <w:r>
        <w:rPr>
          <w:rFonts w:ascii="仿宋_GB2312" w:hAnsi="宋体" w:hint="eastAsia"/>
          <w:szCs w:val="28"/>
        </w:rPr>
        <w:t>本编制工作组承诺本标准内容与各项指标不违反相关法律法规要求，且不低于国家强制性标准、推荐性国家标准和行业标准要求。</w:t>
      </w:r>
    </w:p>
    <w:p w:rsidR="009958E1" w:rsidRDefault="00CF4061">
      <w:pPr>
        <w:ind w:firstLine="640"/>
        <w:rPr>
          <w:rFonts w:ascii="仿宋_GB2312" w:hAnsi="宋体"/>
          <w:szCs w:val="28"/>
        </w:rPr>
      </w:pPr>
      <w:r>
        <w:rPr>
          <w:rFonts w:ascii="仿宋_GB2312" w:hAnsi="宋体" w:hint="eastAsia"/>
          <w:szCs w:val="28"/>
        </w:rPr>
        <w:t>经查询并无与“河流型水牛及其杂交后代育肥技术规程”相关的标准。与“河流型水牛”“水牛</w:t>
      </w:r>
      <w:r>
        <w:rPr>
          <w:rFonts w:ascii="仿宋_GB2312" w:hAnsi="宋体" w:hint="eastAsia"/>
          <w:szCs w:val="28"/>
        </w:rPr>
        <w:t xml:space="preserve"> </w:t>
      </w:r>
      <w:r>
        <w:rPr>
          <w:rFonts w:ascii="仿宋_GB2312" w:hAnsi="宋体" w:hint="eastAsia"/>
          <w:szCs w:val="28"/>
        </w:rPr>
        <w:t>育肥”“水牛</w:t>
      </w:r>
      <w:r>
        <w:rPr>
          <w:rFonts w:ascii="仿宋_GB2312" w:hAnsi="宋体" w:hint="eastAsia"/>
          <w:szCs w:val="28"/>
        </w:rPr>
        <w:t xml:space="preserve"> </w:t>
      </w:r>
      <w:r>
        <w:rPr>
          <w:rFonts w:ascii="仿宋_GB2312" w:hAnsi="宋体" w:hint="eastAsia"/>
          <w:szCs w:val="28"/>
        </w:rPr>
        <w:t>养殖”有关的标</w:t>
      </w:r>
      <w:r>
        <w:rPr>
          <w:rFonts w:ascii="仿宋_GB2312" w:hAnsi="宋体" w:hint="eastAsia"/>
          <w:szCs w:val="28"/>
        </w:rPr>
        <w:t>准主要有：《</w:t>
      </w:r>
      <w:r>
        <w:rPr>
          <w:rFonts w:ascii="仿宋_GB2312" w:hAnsi="宋体" w:hint="eastAsia"/>
          <w:szCs w:val="28"/>
        </w:rPr>
        <w:t xml:space="preserve">DB3411/T 0046-2024  </w:t>
      </w:r>
      <w:r>
        <w:rPr>
          <w:rFonts w:ascii="仿宋_GB2312" w:hAnsi="宋体" w:hint="eastAsia"/>
          <w:szCs w:val="28"/>
        </w:rPr>
        <w:t>江淮水牛育肥技术规程》《</w:t>
      </w:r>
      <w:r>
        <w:rPr>
          <w:rFonts w:ascii="仿宋_GB2312" w:hAnsi="宋体" w:hint="eastAsia"/>
          <w:szCs w:val="28"/>
        </w:rPr>
        <w:t xml:space="preserve">DB50/T 1625-2024  </w:t>
      </w:r>
      <w:r>
        <w:rPr>
          <w:rFonts w:ascii="仿宋_GB2312" w:hAnsi="宋体" w:hint="eastAsia"/>
          <w:szCs w:val="28"/>
        </w:rPr>
        <w:t>涪陵水牛育肥技术规范》《</w:t>
      </w:r>
      <w:r>
        <w:rPr>
          <w:rFonts w:ascii="仿宋_GB2312" w:hAnsi="宋体" w:hint="eastAsia"/>
          <w:szCs w:val="28"/>
        </w:rPr>
        <w:t xml:space="preserve">DB53/T 344.4-2011  </w:t>
      </w:r>
      <w:r>
        <w:rPr>
          <w:rFonts w:ascii="仿宋_GB2312" w:hAnsi="宋体" w:hint="eastAsia"/>
          <w:szCs w:val="28"/>
        </w:rPr>
        <w:t>奶水牛养殖</w:t>
      </w:r>
      <w:r>
        <w:rPr>
          <w:rFonts w:ascii="仿宋_GB2312" w:hAnsi="宋体" w:hint="eastAsia"/>
          <w:szCs w:val="28"/>
        </w:rPr>
        <w:t xml:space="preserve"> </w:t>
      </w:r>
      <w:r>
        <w:rPr>
          <w:rFonts w:ascii="仿宋_GB2312" w:hAnsi="宋体" w:hint="eastAsia"/>
          <w:szCs w:val="28"/>
        </w:rPr>
        <w:t>第</w:t>
      </w:r>
      <w:r>
        <w:rPr>
          <w:rFonts w:ascii="仿宋_GB2312" w:hAnsi="宋体" w:hint="eastAsia"/>
          <w:szCs w:val="28"/>
        </w:rPr>
        <w:t>4</w:t>
      </w:r>
      <w:r>
        <w:rPr>
          <w:rFonts w:ascii="仿宋_GB2312" w:hAnsi="宋体" w:hint="eastAsia"/>
          <w:szCs w:val="28"/>
        </w:rPr>
        <w:t>部分：</w:t>
      </w:r>
      <w:r>
        <w:rPr>
          <w:rFonts w:ascii="仿宋_GB2312" w:hAnsi="宋体" w:hint="eastAsia"/>
          <w:szCs w:val="28"/>
        </w:rPr>
        <w:t xml:space="preserve"> </w:t>
      </w:r>
      <w:r>
        <w:rPr>
          <w:rFonts w:ascii="仿宋_GB2312" w:hAnsi="宋体" w:hint="eastAsia"/>
          <w:szCs w:val="28"/>
        </w:rPr>
        <w:t>养殖技术》《</w:t>
      </w:r>
      <w:r>
        <w:rPr>
          <w:rFonts w:ascii="仿宋_GB2312" w:hAnsi="宋体" w:hint="eastAsia"/>
          <w:szCs w:val="28"/>
        </w:rPr>
        <w:t xml:space="preserve">DB53/T </w:t>
      </w:r>
      <w:r>
        <w:rPr>
          <w:rFonts w:ascii="仿宋_GB2312" w:hAnsi="宋体" w:hint="eastAsia"/>
          <w:szCs w:val="28"/>
        </w:rPr>
        <w:lastRenderedPageBreak/>
        <w:t xml:space="preserve">344.3-2011  </w:t>
      </w:r>
      <w:r>
        <w:rPr>
          <w:rFonts w:ascii="仿宋_GB2312" w:hAnsi="宋体" w:hint="eastAsia"/>
          <w:szCs w:val="28"/>
        </w:rPr>
        <w:t>奶水牛养殖</w:t>
      </w:r>
      <w:r>
        <w:rPr>
          <w:rFonts w:ascii="仿宋_GB2312" w:hAnsi="宋体" w:hint="eastAsia"/>
          <w:szCs w:val="28"/>
        </w:rPr>
        <w:t xml:space="preserve"> </w:t>
      </w:r>
      <w:r>
        <w:rPr>
          <w:rFonts w:ascii="仿宋_GB2312" w:hAnsi="宋体" w:hint="eastAsia"/>
          <w:szCs w:val="28"/>
        </w:rPr>
        <w:t>第</w:t>
      </w:r>
      <w:r>
        <w:rPr>
          <w:rFonts w:ascii="仿宋_GB2312" w:hAnsi="宋体" w:hint="eastAsia"/>
          <w:szCs w:val="28"/>
        </w:rPr>
        <w:t>3</w:t>
      </w:r>
      <w:r>
        <w:rPr>
          <w:rFonts w:ascii="仿宋_GB2312" w:hAnsi="宋体" w:hint="eastAsia"/>
          <w:szCs w:val="28"/>
        </w:rPr>
        <w:t>部分：</w:t>
      </w:r>
      <w:r>
        <w:rPr>
          <w:rFonts w:ascii="仿宋_GB2312" w:hAnsi="宋体" w:hint="eastAsia"/>
          <w:szCs w:val="28"/>
        </w:rPr>
        <w:t xml:space="preserve"> </w:t>
      </w:r>
      <w:r>
        <w:rPr>
          <w:rFonts w:ascii="仿宋_GB2312" w:hAnsi="宋体" w:hint="eastAsia"/>
          <w:szCs w:val="28"/>
        </w:rPr>
        <w:t>疫病防治与卫生保健》《</w:t>
      </w:r>
      <w:r>
        <w:rPr>
          <w:rFonts w:ascii="仿宋_GB2312" w:hAnsi="宋体" w:hint="eastAsia"/>
          <w:szCs w:val="28"/>
        </w:rPr>
        <w:t xml:space="preserve">DB53/T 344.2-2011  </w:t>
      </w:r>
      <w:r>
        <w:rPr>
          <w:rFonts w:ascii="仿宋_GB2312" w:hAnsi="宋体" w:hint="eastAsia"/>
          <w:szCs w:val="28"/>
        </w:rPr>
        <w:t>奶水牛养殖</w:t>
      </w:r>
      <w:r>
        <w:rPr>
          <w:rFonts w:ascii="仿宋_GB2312" w:hAnsi="宋体" w:hint="eastAsia"/>
          <w:szCs w:val="28"/>
        </w:rPr>
        <w:t xml:space="preserve"> </w:t>
      </w:r>
      <w:r>
        <w:rPr>
          <w:rFonts w:ascii="仿宋_GB2312" w:hAnsi="宋体" w:hint="eastAsia"/>
          <w:szCs w:val="28"/>
        </w:rPr>
        <w:t>第</w:t>
      </w:r>
      <w:r>
        <w:rPr>
          <w:rFonts w:ascii="仿宋_GB2312" w:hAnsi="宋体" w:hint="eastAsia"/>
          <w:szCs w:val="28"/>
        </w:rPr>
        <w:t>2</w:t>
      </w:r>
      <w:r>
        <w:rPr>
          <w:rFonts w:ascii="仿宋_GB2312" w:hAnsi="宋体" w:hint="eastAsia"/>
          <w:szCs w:val="28"/>
        </w:rPr>
        <w:t>部分：</w:t>
      </w:r>
      <w:r>
        <w:rPr>
          <w:rFonts w:ascii="仿宋_GB2312" w:hAnsi="宋体" w:hint="eastAsia"/>
          <w:szCs w:val="28"/>
        </w:rPr>
        <w:t xml:space="preserve"> </w:t>
      </w:r>
      <w:r>
        <w:rPr>
          <w:rFonts w:ascii="仿宋_GB2312" w:hAnsi="宋体" w:hint="eastAsia"/>
          <w:szCs w:val="28"/>
        </w:rPr>
        <w:t>繁殖技术》《</w:t>
      </w:r>
      <w:r>
        <w:rPr>
          <w:rFonts w:ascii="仿宋_GB2312" w:hAnsi="宋体" w:hint="eastAsia"/>
          <w:szCs w:val="28"/>
        </w:rPr>
        <w:t xml:space="preserve">DB53/T 344.1-2011  </w:t>
      </w:r>
      <w:r>
        <w:rPr>
          <w:rFonts w:ascii="仿宋_GB2312" w:hAnsi="宋体" w:hint="eastAsia"/>
          <w:szCs w:val="28"/>
        </w:rPr>
        <w:t>奶水牛养殖</w:t>
      </w:r>
      <w:r>
        <w:rPr>
          <w:rFonts w:ascii="仿宋_GB2312" w:hAnsi="宋体" w:hint="eastAsia"/>
          <w:szCs w:val="28"/>
        </w:rPr>
        <w:t xml:space="preserve"> </w:t>
      </w:r>
      <w:r>
        <w:rPr>
          <w:rFonts w:ascii="仿宋_GB2312" w:hAnsi="宋体" w:hint="eastAsia"/>
          <w:szCs w:val="28"/>
        </w:rPr>
        <w:t>第</w:t>
      </w:r>
      <w:r>
        <w:rPr>
          <w:rFonts w:ascii="仿宋_GB2312" w:hAnsi="宋体" w:hint="eastAsia"/>
          <w:szCs w:val="28"/>
        </w:rPr>
        <w:t>1</w:t>
      </w:r>
      <w:r>
        <w:rPr>
          <w:rFonts w:ascii="仿宋_GB2312" w:hAnsi="宋体" w:hint="eastAsia"/>
          <w:szCs w:val="28"/>
        </w:rPr>
        <w:t>部分：</w:t>
      </w:r>
      <w:r>
        <w:rPr>
          <w:rFonts w:ascii="仿宋_GB2312" w:hAnsi="宋体" w:hint="eastAsia"/>
          <w:szCs w:val="28"/>
        </w:rPr>
        <w:t xml:space="preserve"> </w:t>
      </w:r>
      <w:r>
        <w:rPr>
          <w:rFonts w:ascii="仿宋_GB2312" w:hAnsi="宋体" w:hint="eastAsia"/>
          <w:szCs w:val="28"/>
        </w:rPr>
        <w:t>饲草饲料》《</w:t>
      </w:r>
      <w:r>
        <w:rPr>
          <w:rFonts w:ascii="仿宋_GB2312" w:hAnsi="宋体" w:hint="eastAsia"/>
          <w:szCs w:val="28"/>
        </w:rPr>
        <w:t xml:space="preserve">DB45/T 247-2005  </w:t>
      </w:r>
      <w:r>
        <w:rPr>
          <w:rFonts w:ascii="仿宋_GB2312" w:hAnsi="宋体" w:hint="eastAsia"/>
          <w:szCs w:val="28"/>
        </w:rPr>
        <w:t>奶水牛养殖技术规范》。</w:t>
      </w:r>
    </w:p>
    <w:p w:rsidR="009958E1" w:rsidRDefault="00CF4061">
      <w:pPr>
        <w:ind w:firstLine="640"/>
        <w:rPr>
          <w:rFonts w:ascii="仿宋_GB2312" w:hAnsi="宋体"/>
          <w:szCs w:val="28"/>
        </w:rPr>
      </w:pPr>
      <w:r>
        <w:rPr>
          <w:rFonts w:ascii="仿宋_GB2312" w:hAnsi="宋体" w:hint="eastAsia"/>
          <w:szCs w:val="28"/>
        </w:rPr>
        <w:t>分析如下：上述标准主要针对江淮水牛、涪陵水牛育肥的，未涵盖河流型水牛的育肥，其他的是针对奶水牛养殖过程中疫病防治、饲草饲料、繁殖等方面内容的，未涉及河流型水牛的育肥技术，无法指导河流型水牛的育肥管理，制定团体标准《河流型水牛及其杂交后代育肥技术规程》具有较大的创新性。</w:t>
      </w:r>
    </w:p>
    <w:p w:rsidR="009958E1" w:rsidRDefault="00CF4061">
      <w:pPr>
        <w:autoSpaceDE w:val="0"/>
        <w:autoSpaceDN w:val="0"/>
        <w:adjustRightInd w:val="0"/>
        <w:spacing w:line="560" w:lineRule="exact"/>
        <w:ind w:firstLine="640"/>
        <w:jc w:val="left"/>
        <w:rPr>
          <w:rFonts w:ascii="黑体" w:eastAsia="黑体" w:hAnsi="黑体" w:cs="仿宋_GB2312"/>
          <w:szCs w:val="32"/>
        </w:rPr>
      </w:pPr>
      <w:bookmarkStart w:id="2" w:name="_Toc526940084"/>
      <w:r>
        <w:rPr>
          <w:rFonts w:ascii="黑体" w:eastAsia="黑体" w:hAnsi="黑体" w:cs="仿宋_GB2312" w:hint="eastAsia"/>
          <w:szCs w:val="32"/>
        </w:rPr>
        <w:t>五、</w:t>
      </w:r>
      <w:bookmarkEnd w:id="2"/>
      <w:r>
        <w:rPr>
          <w:rFonts w:ascii="黑体" w:eastAsia="黑体" w:hAnsi="黑体" w:cs="仿宋_GB2312" w:hint="eastAsia"/>
          <w:szCs w:val="32"/>
        </w:rPr>
        <w:t>主要条款的说明</w:t>
      </w:r>
    </w:p>
    <w:p w:rsidR="009958E1" w:rsidRDefault="00CF4061">
      <w:pPr>
        <w:ind w:firstLine="640"/>
        <w:rPr>
          <w:rFonts w:ascii="仿宋_GB2312" w:hAnsi="宋体"/>
          <w:szCs w:val="32"/>
          <w:lang w:val="zh-CN"/>
        </w:rPr>
      </w:pPr>
      <w:r>
        <w:rPr>
          <w:rFonts w:ascii="仿宋_GB2312" w:hAnsi="宋体" w:hint="eastAsia"/>
          <w:szCs w:val="32"/>
          <w:lang w:val="zh-CN"/>
        </w:rPr>
        <w:t>团体标准《河流型水牛及其杂交后代育肥技术规程》的主要章节内容包括</w:t>
      </w:r>
      <w:r>
        <w:rPr>
          <w:rFonts w:ascii="仿宋_GB2312" w:hAnsi="宋体" w:hint="eastAsia"/>
          <w:szCs w:val="28"/>
        </w:rPr>
        <w:t>术语和定义、参测要求、测定内容与方法、测定流程管理、数据采集与管理、测定结果分析与应用</w:t>
      </w:r>
      <w:r>
        <w:rPr>
          <w:rFonts w:ascii="仿宋_GB2312" w:hAnsi="宋体" w:hint="eastAsia"/>
          <w:szCs w:val="32"/>
          <w:lang w:val="zh-CN"/>
        </w:rPr>
        <w:t>。本文件主要内容及依据来源说明如下：</w:t>
      </w:r>
    </w:p>
    <w:p w:rsidR="009958E1" w:rsidRDefault="00CF4061">
      <w:pPr>
        <w:ind w:firstLine="640"/>
        <w:rPr>
          <w:rFonts w:ascii="仿宋_GB2312" w:hAnsi="宋体"/>
          <w:szCs w:val="32"/>
          <w:lang w:val="zh-CN"/>
        </w:rPr>
      </w:pPr>
      <w:r>
        <w:rPr>
          <w:rFonts w:ascii="仿宋_GB2312" w:hAnsi="宋体" w:hint="eastAsia"/>
          <w:szCs w:val="32"/>
          <w:lang w:val="zh-CN"/>
        </w:rPr>
        <w:t>广西壮族自治区水牛研究所是全国唯一</w:t>
      </w:r>
      <w:r>
        <w:rPr>
          <w:rFonts w:ascii="仿宋_GB2312" w:hAnsi="宋体" w:hint="eastAsia"/>
          <w:szCs w:val="32"/>
          <w:lang w:val="zh-CN"/>
        </w:rPr>
        <w:t>专门从事水牛研究的省级科研单位，隶属中国农业科学院和广西壮族自治区农业农村厅双重管理，兼具公益一类事业单位属性与产业服务职能，不仅拥有农业部重点实验室、科技部国际科技合作基地等多重高端资质，还是全国最大的良种水牛繁育基地和国家级重点种畜场，其占地</w:t>
      </w:r>
      <w:r>
        <w:rPr>
          <w:rFonts w:ascii="仿宋_GB2312" w:hAnsi="宋体" w:hint="eastAsia"/>
          <w:szCs w:val="32"/>
          <w:lang w:val="zh-CN"/>
        </w:rPr>
        <w:t>100</w:t>
      </w:r>
      <w:r>
        <w:rPr>
          <w:rFonts w:ascii="仿宋_GB2312" w:hAnsi="宋体" w:hint="eastAsia"/>
          <w:szCs w:val="32"/>
          <w:lang w:val="zh-CN"/>
        </w:rPr>
        <w:t>公顷的种畜场存栏水牛</w:t>
      </w:r>
      <w:r>
        <w:rPr>
          <w:rFonts w:ascii="仿宋_GB2312" w:hAnsi="宋体" w:hint="eastAsia"/>
          <w:szCs w:val="32"/>
          <w:lang w:val="zh-CN"/>
        </w:rPr>
        <w:t>900</w:t>
      </w:r>
      <w:r>
        <w:rPr>
          <w:rFonts w:ascii="仿宋_GB2312" w:hAnsi="宋体" w:hint="eastAsia"/>
          <w:szCs w:val="32"/>
          <w:lang w:val="zh-CN"/>
        </w:rPr>
        <w:t>头，涵盖印度摩拉、巴基斯坦尼里</w:t>
      </w:r>
      <w:r>
        <w:rPr>
          <w:rFonts w:ascii="仿宋_GB2312" w:hAnsi="宋体" w:hint="eastAsia"/>
          <w:szCs w:val="32"/>
          <w:lang w:val="zh-CN"/>
        </w:rPr>
        <w:t>/</w:t>
      </w:r>
      <w:r>
        <w:rPr>
          <w:rFonts w:ascii="仿宋_GB2312" w:hAnsi="宋体" w:hint="eastAsia"/>
          <w:szCs w:val="32"/>
          <w:lang w:val="zh-CN"/>
        </w:rPr>
        <w:t>拉菲两大河流型水牛纯种核心群及杂交水牛群，年供种牛</w:t>
      </w:r>
      <w:r>
        <w:rPr>
          <w:rFonts w:ascii="仿宋_GB2312" w:hAnsi="宋体" w:hint="eastAsia"/>
          <w:szCs w:val="32"/>
          <w:lang w:val="zh-CN"/>
        </w:rPr>
        <w:t>200-250</w:t>
      </w:r>
      <w:r>
        <w:rPr>
          <w:rFonts w:ascii="仿宋_GB2312" w:hAnsi="宋体" w:hint="eastAsia"/>
          <w:szCs w:val="32"/>
          <w:lang w:val="zh-CN"/>
        </w:rPr>
        <w:t>头，为技术研究与标准制定提供了稳定且优质的种</w:t>
      </w:r>
      <w:r>
        <w:rPr>
          <w:rFonts w:ascii="仿宋_GB2312" w:hAnsi="宋体" w:hint="eastAsia"/>
          <w:szCs w:val="32"/>
          <w:lang w:val="zh-CN"/>
        </w:rPr>
        <w:lastRenderedPageBreak/>
        <w:t>群支撑。</w:t>
      </w:r>
    </w:p>
    <w:p w:rsidR="009958E1" w:rsidRDefault="00CF4061">
      <w:pPr>
        <w:ind w:firstLine="640"/>
        <w:rPr>
          <w:rFonts w:ascii="仿宋_GB2312" w:hAnsi="宋体"/>
          <w:szCs w:val="32"/>
          <w:lang w:val="zh-CN"/>
        </w:rPr>
      </w:pPr>
      <w:r>
        <w:rPr>
          <w:rFonts w:ascii="仿宋_GB2312" w:hAnsi="宋体" w:hint="eastAsia"/>
          <w:szCs w:val="32"/>
          <w:lang w:val="zh-CN"/>
        </w:rPr>
        <w:t>在河流型水牛研究领域，该研究所积累了全球领先的技术成果与深厚经验，为标准提供了核心技</w:t>
      </w:r>
      <w:r>
        <w:rPr>
          <w:rFonts w:ascii="仿宋_GB2312" w:hAnsi="宋体" w:hint="eastAsia"/>
          <w:szCs w:val="32"/>
          <w:lang w:val="zh-CN"/>
        </w:rPr>
        <w:t>术支撑。研究所率先开展河流型水牛与本地沼泽型水牛的杂交改良，培育出乳肉兼用型杂交水牛品种，相关指标达世界先进水平，更创下世界首例亚种间克隆水牛、首例冷冻胚胎克隆水牛、首例性别控制试管水牛双犊等十项世界第一，建立了成熟的胚胎体外生产、移植及体细胞克隆技术体系，有效解决了良种水牛扩繁速度缓慢的行业难题。同时，研究所长期聚焦河流型水牛营养需求，完成了后备母水牛能量、蛋白质营养需要量及代谢规律等关键研究，明确了不同生长阶段的营养配比参数，创新“微生物</w:t>
      </w:r>
      <w:r>
        <w:rPr>
          <w:rFonts w:ascii="仿宋_GB2312" w:hAnsi="宋体" w:hint="eastAsia"/>
          <w:szCs w:val="32"/>
          <w:lang w:val="zh-CN"/>
        </w:rPr>
        <w:t>+</w:t>
      </w:r>
      <w:r>
        <w:rPr>
          <w:rFonts w:ascii="仿宋_GB2312" w:hAnsi="宋体" w:hint="eastAsia"/>
          <w:szCs w:val="32"/>
          <w:lang w:val="zh-CN"/>
        </w:rPr>
        <w:t>”养殖模式，在粗饲料中添加益生菌优化育肥效果，相关技术多次荣获广</w:t>
      </w:r>
      <w:r>
        <w:rPr>
          <w:rFonts w:ascii="仿宋_GB2312" w:hAnsi="宋体" w:hint="eastAsia"/>
          <w:szCs w:val="32"/>
          <w:lang w:val="zh-CN"/>
        </w:rPr>
        <w:t>西科技进步奖，形成了涵盖品种选择、日粮搭配、饲养管理的完整技术储备，精准匹配河流型水牛（</w:t>
      </w:r>
      <w:r>
        <w:rPr>
          <w:rFonts w:ascii="仿宋_GB2312" w:hAnsi="宋体" w:hint="eastAsia"/>
          <w:szCs w:val="32"/>
          <w:lang w:val="zh-CN"/>
        </w:rPr>
        <w:t>50</w:t>
      </w:r>
      <w:r>
        <w:rPr>
          <w:rFonts w:ascii="仿宋_GB2312" w:hAnsi="宋体" w:hint="eastAsia"/>
          <w:szCs w:val="32"/>
          <w:lang w:val="zh-CN"/>
        </w:rPr>
        <w:t>条染色体）的生理特性，填补了该亚种育肥技术标准的空白。丰富的实践推广与产业转化经验，进一步验证了标准制定的可行性与落地性。研究所构建了“科研院所</w:t>
      </w:r>
      <w:r>
        <w:rPr>
          <w:rFonts w:ascii="仿宋_GB2312" w:hAnsi="宋体" w:hint="eastAsia"/>
          <w:szCs w:val="32"/>
          <w:lang w:val="zh-CN"/>
        </w:rPr>
        <w:t>+</w:t>
      </w:r>
      <w:r>
        <w:rPr>
          <w:rFonts w:ascii="仿宋_GB2312" w:hAnsi="宋体" w:hint="eastAsia"/>
          <w:szCs w:val="32"/>
          <w:lang w:val="zh-CN"/>
        </w:rPr>
        <w:t>企业</w:t>
      </w:r>
      <w:r>
        <w:rPr>
          <w:rFonts w:ascii="仿宋_GB2312" w:hAnsi="宋体" w:hint="eastAsia"/>
          <w:szCs w:val="32"/>
          <w:lang w:val="zh-CN"/>
        </w:rPr>
        <w:t>+</w:t>
      </w:r>
      <w:r>
        <w:rPr>
          <w:rFonts w:ascii="仿宋_GB2312" w:hAnsi="宋体" w:hint="eastAsia"/>
          <w:szCs w:val="32"/>
          <w:lang w:val="zh-CN"/>
        </w:rPr>
        <w:t>基地</w:t>
      </w:r>
      <w:r>
        <w:rPr>
          <w:rFonts w:ascii="仿宋_GB2312" w:hAnsi="宋体" w:hint="eastAsia"/>
          <w:szCs w:val="32"/>
          <w:lang w:val="zh-CN"/>
        </w:rPr>
        <w:t>+</w:t>
      </w:r>
      <w:r>
        <w:rPr>
          <w:rFonts w:ascii="仿宋_GB2312" w:hAnsi="宋体" w:hint="eastAsia"/>
          <w:szCs w:val="32"/>
          <w:lang w:val="zh-CN"/>
        </w:rPr>
        <w:t>农户”的成熟推广体系，已向全国</w:t>
      </w:r>
      <w:r>
        <w:rPr>
          <w:rFonts w:ascii="仿宋_GB2312" w:hAnsi="宋体" w:hint="eastAsia"/>
          <w:szCs w:val="32"/>
          <w:lang w:val="zh-CN"/>
        </w:rPr>
        <w:t>14</w:t>
      </w:r>
      <w:r>
        <w:rPr>
          <w:rFonts w:ascii="仿宋_GB2312" w:hAnsi="宋体" w:hint="eastAsia"/>
          <w:szCs w:val="32"/>
          <w:lang w:val="zh-CN"/>
        </w:rPr>
        <w:t>个省（区）推广良种河流型水牛</w:t>
      </w:r>
      <w:r>
        <w:rPr>
          <w:rFonts w:ascii="仿宋_GB2312" w:hAnsi="宋体" w:hint="eastAsia"/>
          <w:szCs w:val="32"/>
          <w:lang w:val="zh-CN"/>
        </w:rPr>
        <w:t>1200</w:t>
      </w:r>
      <w:r>
        <w:rPr>
          <w:rFonts w:ascii="仿宋_GB2312" w:hAnsi="宋体" w:hint="eastAsia"/>
          <w:szCs w:val="32"/>
          <w:lang w:val="zh-CN"/>
        </w:rPr>
        <w:t>余头、冻精</w:t>
      </w:r>
      <w:r>
        <w:rPr>
          <w:rFonts w:ascii="仿宋_GB2312" w:hAnsi="宋体" w:hint="eastAsia"/>
          <w:szCs w:val="32"/>
          <w:lang w:val="zh-CN"/>
        </w:rPr>
        <w:t>563.79</w:t>
      </w:r>
      <w:r>
        <w:rPr>
          <w:rFonts w:ascii="仿宋_GB2312" w:hAnsi="宋体" w:hint="eastAsia"/>
          <w:szCs w:val="32"/>
          <w:lang w:val="zh-CN"/>
        </w:rPr>
        <w:t>万支，累计改良母牛</w:t>
      </w:r>
      <w:r>
        <w:rPr>
          <w:rFonts w:ascii="仿宋_GB2312" w:hAnsi="宋体" w:hint="eastAsia"/>
          <w:szCs w:val="32"/>
          <w:lang w:val="zh-CN"/>
        </w:rPr>
        <w:t>474.94</w:t>
      </w:r>
      <w:r>
        <w:rPr>
          <w:rFonts w:ascii="仿宋_GB2312" w:hAnsi="宋体" w:hint="eastAsia"/>
          <w:szCs w:val="32"/>
          <w:lang w:val="zh-CN"/>
        </w:rPr>
        <w:t>万头，杂交水牛产肉量较本地水牛提升</w:t>
      </w:r>
      <w:r>
        <w:rPr>
          <w:rFonts w:ascii="仿宋_GB2312" w:hAnsi="宋体" w:hint="eastAsia"/>
          <w:szCs w:val="32"/>
          <w:lang w:val="zh-CN"/>
        </w:rPr>
        <w:t>1</w:t>
      </w:r>
      <w:r>
        <w:rPr>
          <w:rFonts w:ascii="仿宋_GB2312" w:hAnsi="宋体" w:hint="eastAsia"/>
          <w:szCs w:val="32"/>
          <w:lang w:val="zh-CN"/>
        </w:rPr>
        <w:t>倍，其培育的杂交良种水牛在百色、防城港等多地的养殖实践中，实现了存栏规模稳步扩大、养殖户收益显著提升的良</w:t>
      </w:r>
      <w:r>
        <w:rPr>
          <w:rFonts w:ascii="仿宋_GB2312" w:hAnsi="宋体" w:hint="eastAsia"/>
          <w:szCs w:val="32"/>
          <w:lang w:val="zh-CN"/>
        </w:rPr>
        <w:t>好成效，仅在百色革命老区就带动</w:t>
      </w:r>
      <w:r>
        <w:rPr>
          <w:rFonts w:ascii="仿宋_GB2312" w:hAnsi="宋体" w:hint="eastAsia"/>
          <w:szCs w:val="32"/>
          <w:lang w:val="zh-CN"/>
        </w:rPr>
        <w:t>7</w:t>
      </w:r>
      <w:r>
        <w:rPr>
          <w:rFonts w:ascii="仿宋_GB2312" w:hAnsi="宋体" w:hint="eastAsia"/>
          <w:szCs w:val="32"/>
          <w:lang w:val="zh-CN"/>
        </w:rPr>
        <w:t>个规模化养殖主体发展，养殖规模达</w:t>
      </w:r>
      <w:r>
        <w:rPr>
          <w:rFonts w:ascii="仿宋_GB2312" w:hAnsi="宋体" w:hint="eastAsia"/>
          <w:szCs w:val="32"/>
          <w:lang w:val="zh-CN"/>
        </w:rPr>
        <w:t>700</w:t>
      </w:r>
      <w:r>
        <w:rPr>
          <w:rFonts w:ascii="仿宋_GB2312" w:hAnsi="宋体" w:hint="eastAsia"/>
          <w:szCs w:val="32"/>
          <w:lang w:val="zh-CN"/>
        </w:rPr>
        <w:t>多头，帮助众多贫</w:t>
      </w:r>
      <w:r>
        <w:rPr>
          <w:rFonts w:ascii="仿宋_GB2312" w:hAnsi="宋体" w:hint="eastAsia"/>
          <w:szCs w:val="32"/>
          <w:lang w:val="zh-CN"/>
        </w:rPr>
        <w:lastRenderedPageBreak/>
        <w:t>困户脱贫增收，这些经过大规模实践验证的技术与模式，为标准的制定提供了直接参考，确保标准具备极强的实践可行性与产业适配性。</w:t>
      </w:r>
    </w:p>
    <w:p w:rsidR="009958E1" w:rsidRDefault="00CF4061">
      <w:pPr>
        <w:autoSpaceDE w:val="0"/>
        <w:autoSpaceDN w:val="0"/>
        <w:adjustRightInd w:val="0"/>
        <w:spacing w:line="560" w:lineRule="exact"/>
        <w:ind w:firstLine="640"/>
        <w:jc w:val="left"/>
        <w:rPr>
          <w:rFonts w:ascii="黑体" w:eastAsia="黑体" w:hAnsi="黑体" w:cs="仿宋_GB2312"/>
          <w:szCs w:val="32"/>
        </w:rPr>
      </w:pPr>
      <w:bookmarkStart w:id="3" w:name="_Toc526940086"/>
      <w:r>
        <w:rPr>
          <w:rFonts w:ascii="黑体" w:eastAsia="黑体" w:hAnsi="黑体" w:cs="仿宋_GB2312" w:hint="eastAsia"/>
          <w:szCs w:val="32"/>
        </w:rPr>
        <w:t>（一）术语和定义</w:t>
      </w:r>
    </w:p>
    <w:p w:rsidR="009958E1" w:rsidRDefault="00CF4061">
      <w:pPr>
        <w:ind w:firstLine="640"/>
        <w:rPr>
          <w:rFonts w:ascii="仿宋_GB2312" w:hAnsi="宋体"/>
          <w:bCs/>
          <w:szCs w:val="32"/>
          <w:lang w:val="zh-CN"/>
        </w:rPr>
      </w:pPr>
      <w:r>
        <w:rPr>
          <w:rFonts w:ascii="仿宋_GB2312" w:hAnsi="宋体" w:hint="eastAsia"/>
          <w:bCs/>
          <w:szCs w:val="32"/>
          <w:lang w:val="zh-CN"/>
        </w:rPr>
        <w:t>杂交水牛：</w:t>
      </w:r>
      <w:r>
        <w:rPr>
          <w:rFonts w:ascii="仿宋_GB2312" w:hAnsi="宋体" w:hint="eastAsia"/>
          <w:bCs/>
          <w:szCs w:val="32"/>
        </w:rPr>
        <w:t>主要</w:t>
      </w:r>
      <w:r>
        <w:rPr>
          <w:rFonts w:ascii="仿宋_GB2312" w:hAnsi="宋体" w:hint="eastAsia"/>
          <w:bCs/>
          <w:szCs w:val="32"/>
          <w:lang w:val="zh-CN"/>
        </w:rPr>
        <w:t>从遗传学基础（染色体数目）和育种实践两个层面界定了“杂交水牛”。明确了杂交的两种主要形式：一是河流型与沼泽型水牛间的远缘杂交，二是河流型水牛品种间的近缘杂交。这一定义覆盖了当前生产中主要的杂交水牛类型，为标准的适用对象提供了清晰的范围。</w:t>
      </w:r>
    </w:p>
    <w:p w:rsidR="009958E1" w:rsidRDefault="00CF4061">
      <w:pPr>
        <w:ind w:firstLine="640"/>
        <w:rPr>
          <w:rFonts w:ascii="仿宋_GB2312" w:hAnsi="宋体"/>
          <w:bCs/>
          <w:szCs w:val="32"/>
          <w:lang w:val="zh-CN"/>
        </w:rPr>
      </w:pPr>
      <w:r>
        <w:rPr>
          <w:rFonts w:ascii="仿宋_GB2312" w:hAnsi="宋体" w:hint="eastAsia"/>
          <w:bCs/>
          <w:szCs w:val="32"/>
          <w:lang w:val="zh-CN"/>
        </w:rPr>
        <w:t>育肥牛：</w:t>
      </w:r>
      <w:r>
        <w:rPr>
          <w:rFonts w:ascii="仿宋_GB2312" w:hAnsi="宋体" w:hint="eastAsia"/>
          <w:bCs/>
          <w:szCs w:val="32"/>
        </w:rPr>
        <w:t>结合</w:t>
      </w:r>
      <w:r>
        <w:rPr>
          <w:rFonts w:ascii="仿宋_GB2312" w:hAnsi="宋体" w:hint="eastAsia"/>
          <w:bCs/>
          <w:szCs w:val="32"/>
          <w:lang w:val="zh-CN"/>
        </w:rPr>
        <w:t>水牛育肥生产实践，育肥牛</w:t>
      </w:r>
      <w:r>
        <w:rPr>
          <w:rFonts w:ascii="仿宋_GB2312" w:hAnsi="宋体" w:hint="eastAsia"/>
          <w:bCs/>
          <w:szCs w:val="32"/>
        </w:rPr>
        <w:t>主要</w:t>
      </w:r>
      <w:r>
        <w:rPr>
          <w:rFonts w:ascii="仿宋_GB2312" w:hAnsi="宋体" w:hint="eastAsia"/>
          <w:bCs/>
          <w:szCs w:val="32"/>
          <w:lang w:val="zh-CN"/>
        </w:rPr>
        <w:t>划分为三种主要类型：断奶牛（从断奶后开始育肥）、架子牛（从</w:t>
      </w:r>
      <w:r>
        <w:rPr>
          <w:rFonts w:ascii="仿宋_GB2312" w:hAnsi="宋体" w:hint="eastAsia"/>
          <w:bCs/>
          <w:szCs w:val="32"/>
          <w:lang w:val="zh-CN"/>
        </w:rPr>
        <w:t>1-2</w:t>
      </w:r>
      <w:r>
        <w:rPr>
          <w:rFonts w:ascii="仿宋_GB2312" w:hAnsi="宋体" w:hint="eastAsia"/>
          <w:bCs/>
          <w:szCs w:val="32"/>
          <w:lang w:val="zh-CN"/>
        </w:rPr>
        <w:t>岁开始育肥）和淘汰母牛（利用繁殖性能下降的母牛进行育肥），明确了“育肥牛”是指在特定生产体系下，以增加体重、改善肉质、提高出肉率为唯一或主要目的而饲养的牛只，</w:t>
      </w:r>
      <w:r>
        <w:rPr>
          <w:rFonts w:ascii="仿宋_GB2312" w:hAnsi="宋体" w:hint="eastAsia"/>
          <w:bCs/>
          <w:szCs w:val="32"/>
        </w:rPr>
        <w:t>并且对应标准</w:t>
      </w:r>
      <w:r>
        <w:rPr>
          <w:rFonts w:ascii="仿宋_GB2312" w:hAnsi="宋体" w:hint="eastAsia"/>
          <w:bCs/>
          <w:szCs w:val="32"/>
          <w:lang w:val="zh-CN"/>
        </w:rPr>
        <w:t>育肥管理措施。</w:t>
      </w:r>
    </w:p>
    <w:p w:rsidR="009958E1" w:rsidRDefault="00CF4061" w:rsidP="00F75B80">
      <w:pPr>
        <w:numPr>
          <w:ilvl w:val="0"/>
          <w:numId w:val="17"/>
        </w:numPr>
        <w:autoSpaceDE w:val="0"/>
        <w:autoSpaceDN w:val="0"/>
        <w:adjustRightInd w:val="0"/>
        <w:spacing w:line="560" w:lineRule="exact"/>
        <w:ind w:firstLineChars="198" w:firstLine="634"/>
        <w:jc w:val="left"/>
        <w:rPr>
          <w:rFonts w:ascii="黑体" w:eastAsia="黑体" w:hAnsi="黑体" w:cs="仿宋_GB2312"/>
          <w:szCs w:val="32"/>
        </w:rPr>
      </w:pPr>
      <w:r>
        <w:rPr>
          <w:rFonts w:ascii="黑体" w:eastAsia="黑体" w:hAnsi="黑体" w:cs="仿宋_GB2312" w:hint="eastAsia"/>
          <w:szCs w:val="32"/>
        </w:rPr>
        <w:t>饲料与饮水</w:t>
      </w:r>
    </w:p>
    <w:p w:rsidR="009958E1" w:rsidRDefault="00CF4061">
      <w:pPr>
        <w:ind w:firstLine="640"/>
        <w:rPr>
          <w:rFonts w:ascii="仿宋_GB2312" w:hAnsi="宋体"/>
          <w:bCs/>
          <w:szCs w:val="32"/>
          <w:lang w:val="zh-CN"/>
        </w:rPr>
      </w:pPr>
      <w:r>
        <w:rPr>
          <w:rFonts w:ascii="仿宋_GB2312" w:hAnsi="宋体" w:hint="eastAsia"/>
          <w:bCs/>
          <w:szCs w:val="32"/>
          <w:lang w:val="zh-CN"/>
        </w:rPr>
        <w:t>饲料与饮水是水牛育肥的物质基础，直接影响育肥效果、肉品质量和养殖效益。</w:t>
      </w:r>
      <w:r>
        <w:rPr>
          <w:rFonts w:ascii="仿宋_GB2312" w:hAnsi="宋体" w:hint="eastAsia"/>
          <w:bCs/>
          <w:szCs w:val="32"/>
        </w:rPr>
        <w:t>主要</w:t>
      </w:r>
      <w:r>
        <w:rPr>
          <w:rFonts w:ascii="仿宋_GB2312" w:hAnsi="宋体" w:hint="eastAsia"/>
          <w:bCs/>
          <w:szCs w:val="32"/>
          <w:lang w:val="zh-CN"/>
        </w:rPr>
        <w:t>结合广西及南方地区水牛养殖的饲料资源特点，</w:t>
      </w:r>
      <w:r>
        <w:rPr>
          <w:rFonts w:ascii="仿宋_GB2312" w:hAnsi="宋体" w:hint="eastAsia"/>
          <w:bCs/>
          <w:szCs w:val="32"/>
        </w:rPr>
        <w:t>并</w:t>
      </w:r>
      <w:r>
        <w:rPr>
          <w:rFonts w:ascii="仿宋_GB2312" w:hAnsi="宋体" w:hint="eastAsia"/>
          <w:bCs/>
          <w:szCs w:val="32"/>
          <w:lang w:val="zh-CN"/>
        </w:rPr>
        <w:t>充分考虑水牛的消化生理特点和南方地区丰富的粗饲料资源，规定了饲料原料的选择、添加剂的合理使用、饲料的贮存</w:t>
      </w:r>
      <w:r>
        <w:rPr>
          <w:rFonts w:ascii="仿宋_GB2312" w:hAnsi="宋体" w:hint="eastAsia"/>
          <w:bCs/>
          <w:szCs w:val="32"/>
          <w:lang w:val="zh-CN"/>
        </w:rPr>
        <w:t>管理以及饮水卫生要求。</w:t>
      </w:r>
    </w:p>
    <w:p w:rsidR="009958E1" w:rsidRDefault="00CF4061">
      <w:pPr>
        <w:numPr>
          <w:ilvl w:val="0"/>
          <w:numId w:val="18"/>
        </w:numPr>
        <w:ind w:firstLine="640"/>
        <w:rPr>
          <w:rFonts w:ascii="仿宋_GB2312" w:hAnsi="宋体"/>
          <w:bCs/>
          <w:szCs w:val="32"/>
        </w:rPr>
      </w:pPr>
      <w:r>
        <w:rPr>
          <w:rFonts w:ascii="仿宋_GB2312" w:hAnsi="宋体" w:hint="eastAsia"/>
          <w:bCs/>
          <w:szCs w:val="32"/>
        </w:rPr>
        <w:t>饲料</w:t>
      </w:r>
    </w:p>
    <w:p w:rsidR="009958E1" w:rsidRDefault="00CF4061">
      <w:pPr>
        <w:numPr>
          <w:ilvl w:val="0"/>
          <w:numId w:val="18"/>
        </w:numPr>
        <w:ind w:firstLine="640"/>
        <w:rPr>
          <w:rFonts w:ascii="仿宋_GB2312" w:hAnsi="宋体"/>
          <w:bCs/>
          <w:szCs w:val="32"/>
        </w:rPr>
      </w:pPr>
      <w:r>
        <w:rPr>
          <w:rFonts w:ascii="仿宋_GB2312" w:hAnsi="宋体" w:hint="eastAsia"/>
          <w:bCs/>
          <w:szCs w:val="32"/>
        </w:rPr>
        <w:lastRenderedPageBreak/>
        <w:t>首先要求饲料原料必须符合国家《饲料原料目录》和</w:t>
      </w:r>
      <w:r>
        <w:rPr>
          <w:rFonts w:ascii="仿宋_GB2312" w:hAnsi="宋体" w:hint="eastAsia"/>
          <w:bCs/>
          <w:szCs w:val="32"/>
        </w:rPr>
        <w:t>GB13078</w:t>
      </w:r>
      <w:r>
        <w:rPr>
          <w:rFonts w:ascii="仿宋_GB2312" w:hAnsi="宋体" w:hint="eastAsia"/>
          <w:bCs/>
          <w:szCs w:val="32"/>
        </w:rPr>
        <w:t>《饲料卫生标准》的规定，从源头上确保饲料安全，防止有害物质进入养殖环节。列举的常用饲料充分体现了南方地区（尤其是广西）的饲料资源特色，如象草、甘蔗尾叶、菠萝皮、啤酒糟等</w:t>
      </w:r>
    </w:p>
    <w:p w:rsidR="009958E1" w:rsidRDefault="00CF4061">
      <w:pPr>
        <w:ind w:firstLine="640"/>
        <w:rPr>
          <w:rFonts w:ascii="仿宋_GB2312" w:hAnsi="宋体"/>
          <w:bCs/>
          <w:szCs w:val="32"/>
          <w:lang w:val="zh-CN"/>
        </w:rPr>
      </w:pPr>
      <w:r>
        <w:rPr>
          <w:rFonts w:ascii="仿宋_GB2312" w:hAnsi="宋体" w:hint="eastAsia"/>
          <w:bCs/>
          <w:szCs w:val="32"/>
          <w:lang w:val="zh-CN"/>
        </w:rPr>
        <w:t>日粮配制时，宜添加有助于消化的添加剂（如小苏打、人工盐、健胃散等），并保证矿物质和维生素的供给，特别是钙、磷和维生素</w:t>
      </w:r>
      <w:r>
        <w:rPr>
          <w:rFonts w:ascii="仿宋_GB2312" w:hAnsi="宋体" w:hint="eastAsia"/>
          <w:bCs/>
          <w:szCs w:val="32"/>
          <w:lang w:val="zh-CN"/>
        </w:rPr>
        <w:t>A</w:t>
      </w:r>
      <w:r>
        <w:rPr>
          <w:rFonts w:ascii="仿宋_GB2312" w:hAnsi="宋体" w:hint="eastAsia"/>
          <w:bCs/>
          <w:szCs w:val="32"/>
          <w:lang w:val="zh-CN"/>
        </w:rPr>
        <w:t>。所用添加剂应符合《饲料添加剂品种目录》及</w:t>
      </w:r>
      <w:r>
        <w:rPr>
          <w:rFonts w:ascii="仿宋_GB2312" w:hAnsi="宋体" w:hint="eastAsia"/>
          <w:bCs/>
          <w:szCs w:val="32"/>
          <w:lang w:val="zh-CN"/>
        </w:rPr>
        <w:t>GB13078</w:t>
      </w:r>
      <w:r>
        <w:rPr>
          <w:rFonts w:ascii="仿宋_GB2312" w:hAnsi="宋体" w:hint="eastAsia"/>
          <w:bCs/>
          <w:szCs w:val="32"/>
          <w:lang w:val="zh-CN"/>
        </w:rPr>
        <w:t>的规定。小苏打（碳酸氢钠）是调节瘤胃</w:t>
      </w:r>
      <w:r>
        <w:rPr>
          <w:rFonts w:ascii="仿宋_GB2312" w:hAnsi="宋体" w:hint="eastAsia"/>
          <w:bCs/>
          <w:szCs w:val="32"/>
          <w:lang w:val="zh-CN"/>
        </w:rPr>
        <w:t>pH</w:t>
      </w:r>
      <w:r>
        <w:rPr>
          <w:rFonts w:ascii="仿宋_GB2312" w:hAnsi="宋体" w:hint="eastAsia"/>
          <w:bCs/>
          <w:szCs w:val="32"/>
          <w:lang w:val="zh-CN"/>
        </w:rPr>
        <w:t>值的常用添加剂，可预防瘤胃酸中毒。人工</w:t>
      </w:r>
      <w:r>
        <w:rPr>
          <w:rFonts w:ascii="仿宋_GB2312" w:hAnsi="宋体" w:hint="eastAsia"/>
          <w:bCs/>
          <w:szCs w:val="32"/>
          <w:lang w:val="zh-CN"/>
        </w:rPr>
        <w:t>盐、健胃散等有助于促进消化、增进食欲。这些添加剂的使用是提高育肥效率的常规技术措施。钙、磷是骨骼发育和肌肉生长的重要矿物质元素；维生素</w:t>
      </w:r>
      <w:r>
        <w:rPr>
          <w:rFonts w:ascii="仿宋_GB2312" w:hAnsi="宋体" w:hint="eastAsia"/>
          <w:bCs/>
          <w:szCs w:val="32"/>
          <w:lang w:val="zh-CN"/>
        </w:rPr>
        <w:t>A</w:t>
      </w:r>
      <w:r>
        <w:rPr>
          <w:rFonts w:ascii="仿宋_GB2312" w:hAnsi="宋体" w:hint="eastAsia"/>
          <w:bCs/>
          <w:szCs w:val="32"/>
          <w:lang w:val="zh-CN"/>
        </w:rPr>
        <w:t>对维持上皮组织健康和正常视觉功能至关重要。育肥牛处于快速生长期，对钙、磷和维生素</w:t>
      </w:r>
      <w:r>
        <w:rPr>
          <w:rFonts w:ascii="仿宋_GB2312" w:hAnsi="宋体" w:hint="eastAsia"/>
          <w:bCs/>
          <w:szCs w:val="32"/>
          <w:lang w:val="zh-CN"/>
        </w:rPr>
        <w:t>A</w:t>
      </w:r>
      <w:r>
        <w:rPr>
          <w:rFonts w:ascii="仿宋_GB2312" w:hAnsi="宋体" w:hint="eastAsia"/>
          <w:bCs/>
          <w:szCs w:val="32"/>
          <w:lang w:val="zh-CN"/>
        </w:rPr>
        <w:t>的需求量较大，需重点保障。</w:t>
      </w:r>
    </w:p>
    <w:p w:rsidR="009958E1" w:rsidRDefault="00CF4061">
      <w:pPr>
        <w:ind w:firstLine="640"/>
        <w:rPr>
          <w:rFonts w:ascii="仿宋_GB2312" w:hAnsi="宋体"/>
          <w:bCs/>
          <w:szCs w:val="32"/>
        </w:rPr>
      </w:pPr>
      <w:r>
        <w:rPr>
          <w:rFonts w:ascii="仿宋_GB2312" w:hAnsi="宋体" w:hint="eastAsia"/>
          <w:bCs/>
          <w:szCs w:val="32"/>
        </w:rPr>
        <w:t>此外，</w:t>
      </w:r>
      <w:r>
        <w:rPr>
          <w:rFonts w:ascii="仿宋_GB2312" w:hAnsi="宋体" w:hint="eastAsia"/>
          <w:bCs/>
          <w:szCs w:val="32"/>
          <w:lang w:val="zh-CN"/>
        </w:rPr>
        <w:t>不同类型饲料的营养成分和水分含量差异较大，分开贮存可防止相互污染和交叉霉变。青贮饲料属于湿贮饲料，更需单独存放。</w:t>
      </w:r>
      <w:r>
        <w:rPr>
          <w:rFonts w:ascii="仿宋_GB2312" w:hAnsi="宋体" w:hint="eastAsia"/>
          <w:bCs/>
          <w:szCs w:val="32"/>
        </w:rPr>
        <w:t>因此，还规定了粗饲料、精饲料、青贮饲料及精料补充剂应分开贮存，标识清楚，并定期抽检。贮存场所应防潮、防霉、防鼠。</w:t>
      </w:r>
    </w:p>
    <w:p w:rsidR="009958E1" w:rsidRDefault="00CF4061">
      <w:pPr>
        <w:ind w:firstLine="640"/>
        <w:rPr>
          <w:rFonts w:ascii="仿宋_GB2312" w:hAnsi="宋体"/>
          <w:bCs/>
          <w:szCs w:val="32"/>
        </w:rPr>
      </w:pPr>
      <w:r>
        <w:rPr>
          <w:rFonts w:ascii="仿宋_GB2312" w:hAnsi="宋体" w:hint="eastAsia"/>
          <w:bCs/>
          <w:szCs w:val="32"/>
        </w:rPr>
        <w:t>2</w:t>
      </w:r>
      <w:r>
        <w:rPr>
          <w:rFonts w:ascii="仿宋_GB2312" w:hAnsi="宋体" w:hint="eastAsia"/>
          <w:bCs/>
          <w:szCs w:val="32"/>
        </w:rPr>
        <w:t>、饮水</w:t>
      </w:r>
    </w:p>
    <w:p w:rsidR="009958E1" w:rsidRDefault="00CF4061">
      <w:pPr>
        <w:ind w:firstLine="640"/>
        <w:rPr>
          <w:rFonts w:ascii="仿宋_GB2312" w:hAnsi="宋体"/>
          <w:bCs/>
          <w:szCs w:val="32"/>
        </w:rPr>
      </w:pPr>
      <w:r>
        <w:rPr>
          <w:rFonts w:ascii="仿宋_GB2312" w:hAnsi="宋体" w:hint="eastAsia"/>
          <w:bCs/>
          <w:szCs w:val="32"/>
          <w:lang w:val="zh-CN"/>
        </w:rPr>
        <w:t>水对水牛尤为重要，尤其是</w:t>
      </w:r>
      <w:r>
        <w:rPr>
          <w:rFonts w:ascii="仿宋_GB2312" w:hAnsi="宋体" w:hint="eastAsia"/>
          <w:bCs/>
          <w:szCs w:val="32"/>
          <w:lang w:val="zh-CN"/>
        </w:rPr>
        <w:t>育肥牛和泌乳牛。研究表明，充足、清洁的饮水对提高产奶量和促进生长发育至关重要。育肥期</w:t>
      </w:r>
      <w:r>
        <w:rPr>
          <w:rFonts w:ascii="仿宋_GB2312" w:hAnsi="宋体" w:hint="eastAsia"/>
          <w:bCs/>
          <w:szCs w:val="32"/>
          <w:lang w:val="zh-CN"/>
        </w:rPr>
        <w:lastRenderedPageBreak/>
        <w:t>间，应保证水牛自由饮水，尤其是在夏季高温季节，更需增加饮水次数，以防热应激。</w:t>
      </w:r>
      <w:r>
        <w:rPr>
          <w:rFonts w:ascii="仿宋_GB2312" w:hAnsi="宋体" w:hint="eastAsia"/>
          <w:bCs/>
          <w:szCs w:val="32"/>
        </w:rPr>
        <w:t>因此，规定饮水符合</w:t>
      </w:r>
      <w:r>
        <w:rPr>
          <w:rFonts w:ascii="仿宋_GB2312" w:hAnsi="宋体" w:hint="eastAsia"/>
          <w:bCs/>
          <w:szCs w:val="32"/>
        </w:rPr>
        <w:t>NY/T388</w:t>
      </w:r>
      <w:r>
        <w:rPr>
          <w:rFonts w:ascii="仿宋_GB2312" w:hAnsi="宋体" w:hint="eastAsia"/>
          <w:bCs/>
          <w:szCs w:val="32"/>
        </w:rPr>
        <w:t>的规定，每日清洗饮水器，保证饮水清洁卫生。</w:t>
      </w:r>
    </w:p>
    <w:p w:rsidR="009958E1" w:rsidRDefault="00CF4061" w:rsidP="00F75B80">
      <w:pPr>
        <w:numPr>
          <w:ilvl w:val="0"/>
          <w:numId w:val="17"/>
        </w:numPr>
        <w:autoSpaceDE w:val="0"/>
        <w:autoSpaceDN w:val="0"/>
        <w:adjustRightInd w:val="0"/>
        <w:spacing w:line="560" w:lineRule="exact"/>
        <w:ind w:firstLineChars="198" w:firstLine="634"/>
        <w:jc w:val="left"/>
        <w:rPr>
          <w:rFonts w:ascii="黑体" w:eastAsia="黑体" w:hAnsi="黑体" w:cs="仿宋_GB2312"/>
          <w:szCs w:val="32"/>
        </w:rPr>
      </w:pPr>
      <w:r>
        <w:rPr>
          <w:rFonts w:ascii="黑体" w:eastAsia="黑体" w:hAnsi="黑体" w:cs="仿宋_GB2312" w:hint="eastAsia"/>
          <w:szCs w:val="32"/>
        </w:rPr>
        <w:t>分群</w:t>
      </w:r>
    </w:p>
    <w:p w:rsidR="009958E1" w:rsidRDefault="00CF4061">
      <w:pPr>
        <w:ind w:firstLine="640"/>
        <w:rPr>
          <w:rFonts w:ascii="仿宋_GB2312" w:hAnsi="宋体"/>
          <w:bCs/>
          <w:szCs w:val="32"/>
        </w:rPr>
      </w:pPr>
      <w:r>
        <w:rPr>
          <w:rFonts w:ascii="仿宋_GB2312" w:hAnsi="宋体"/>
          <w:bCs/>
          <w:szCs w:val="32"/>
        </w:rPr>
        <w:t>分群管理是规模化、标准化养殖的基础环节，对于提高育肥效果、降低饲养成本、减少疾病发生具有重要意义。新进场水牛经历了运输、环境变化、饲料转换等多重应激，科学的分群能够帮助牛只尽快适应新环境，减少个体间的争斗和干扰，为后续的育肥管理奠定良好基础</w:t>
      </w:r>
      <w:r>
        <w:rPr>
          <w:rFonts w:ascii="仿宋_GB2312" w:hAnsi="宋体" w:hint="eastAsia"/>
          <w:bCs/>
          <w:szCs w:val="32"/>
        </w:rPr>
        <w:t>。因此，考虑到水牛的生理特点和社会行为，结合育肥生产实践，规定了按性别、年龄、体格、强弱进行分群的基本原则和</w:t>
      </w:r>
      <w:r>
        <w:rPr>
          <w:rFonts w:ascii="仿宋_GB2312" w:hAnsi="宋体" w:hint="eastAsia"/>
          <w:bCs/>
          <w:szCs w:val="32"/>
        </w:rPr>
        <w:t>15</w:t>
      </w:r>
      <w:r>
        <w:rPr>
          <w:rFonts w:ascii="仿宋_GB2312" w:hAnsi="宋体" w:hint="eastAsia"/>
          <w:bCs/>
          <w:szCs w:val="32"/>
        </w:rPr>
        <w:t>～</w:t>
      </w:r>
      <w:r>
        <w:rPr>
          <w:rFonts w:ascii="仿宋_GB2312" w:hAnsi="宋体" w:hint="eastAsia"/>
          <w:bCs/>
          <w:szCs w:val="32"/>
        </w:rPr>
        <w:t>20</w:t>
      </w:r>
      <w:r>
        <w:rPr>
          <w:rFonts w:ascii="仿宋_GB2312" w:hAnsi="宋体" w:hint="eastAsia"/>
          <w:bCs/>
          <w:szCs w:val="32"/>
        </w:rPr>
        <w:t>头的适宜群体规模。</w:t>
      </w:r>
    </w:p>
    <w:p w:rsidR="009958E1" w:rsidRDefault="00CF4061" w:rsidP="00F75B80">
      <w:pPr>
        <w:numPr>
          <w:ilvl w:val="0"/>
          <w:numId w:val="17"/>
        </w:numPr>
        <w:autoSpaceDE w:val="0"/>
        <w:autoSpaceDN w:val="0"/>
        <w:adjustRightInd w:val="0"/>
        <w:spacing w:line="560" w:lineRule="exact"/>
        <w:ind w:firstLineChars="198" w:firstLine="634"/>
        <w:jc w:val="left"/>
        <w:rPr>
          <w:rFonts w:ascii="黑体" w:eastAsia="黑体" w:hAnsi="黑体" w:cs="仿宋_GB2312"/>
          <w:szCs w:val="32"/>
        </w:rPr>
      </w:pPr>
      <w:r>
        <w:rPr>
          <w:rFonts w:ascii="黑体" w:eastAsia="黑体" w:hAnsi="黑体" w:cs="仿宋_GB2312" w:hint="eastAsia"/>
          <w:szCs w:val="32"/>
        </w:rPr>
        <w:t>育肥管理</w:t>
      </w:r>
    </w:p>
    <w:p w:rsidR="009958E1" w:rsidRDefault="00CF4061">
      <w:pPr>
        <w:ind w:firstLine="640"/>
        <w:rPr>
          <w:rFonts w:ascii="仿宋_GB2312" w:hAnsi="宋体"/>
          <w:bCs/>
          <w:szCs w:val="32"/>
        </w:rPr>
      </w:pPr>
      <w:r>
        <w:rPr>
          <w:rFonts w:ascii="仿宋_GB2312" w:hAnsi="宋体"/>
          <w:bCs/>
          <w:szCs w:val="32"/>
        </w:rPr>
        <w:t>不同来源、不同年龄、不同体况的水牛，其生理特点和营养需求存在显著差异。为科学指导生产实践，</w:t>
      </w:r>
      <w:r>
        <w:rPr>
          <w:rFonts w:ascii="仿宋_GB2312" w:hAnsi="宋体" w:hint="eastAsia"/>
          <w:bCs/>
          <w:szCs w:val="32"/>
        </w:rPr>
        <w:t>本标准紧密南方地区的饲料资源特点，并结合近年来的研究成果总结，</w:t>
      </w:r>
      <w:r>
        <w:rPr>
          <w:rFonts w:ascii="仿宋_GB2312" w:hAnsi="宋体"/>
          <w:bCs/>
          <w:szCs w:val="32"/>
        </w:rPr>
        <w:t>将育肥牛分为断奶牛、架子牛、淘汰母牛三类，分别制定了针对性的选择标准、过渡期管理方案和分阶段育肥技术措施</w:t>
      </w:r>
      <w:r>
        <w:rPr>
          <w:rFonts w:ascii="仿宋_GB2312" w:hAnsi="宋体" w:hint="eastAsia"/>
          <w:bCs/>
          <w:szCs w:val="32"/>
        </w:rPr>
        <w:t>。</w:t>
      </w:r>
    </w:p>
    <w:p w:rsidR="009958E1" w:rsidRDefault="00CF4061">
      <w:pPr>
        <w:numPr>
          <w:ilvl w:val="0"/>
          <w:numId w:val="19"/>
        </w:numPr>
        <w:ind w:firstLine="640"/>
        <w:rPr>
          <w:rFonts w:ascii="仿宋_GB2312" w:hAnsi="宋体"/>
          <w:bCs/>
          <w:szCs w:val="32"/>
        </w:rPr>
      </w:pPr>
      <w:r>
        <w:rPr>
          <w:rFonts w:ascii="仿宋_GB2312" w:hAnsi="宋体" w:hint="eastAsia"/>
          <w:bCs/>
          <w:szCs w:val="32"/>
        </w:rPr>
        <w:t>断奶牛</w:t>
      </w:r>
    </w:p>
    <w:p w:rsidR="009958E1" w:rsidRDefault="00CF4061">
      <w:pPr>
        <w:ind w:firstLine="640"/>
        <w:rPr>
          <w:rFonts w:ascii="仿宋_GB2312" w:hAnsi="宋体"/>
          <w:bCs/>
          <w:szCs w:val="32"/>
        </w:rPr>
      </w:pPr>
      <w:r>
        <w:rPr>
          <w:rFonts w:ascii="仿宋_GB2312" w:hAnsi="宋体" w:hint="eastAsia"/>
          <w:bCs/>
          <w:szCs w:val="32"/>
          <w:lang w:val="zh-CN"/>
        </w:rPr>
        <w:t>断奶牛选择：</w:t>
      </w:r>
      <w:r>
        <w:rPr>
          <w:rFonts w:ascii="仿宋_GB2312" w:hAnsi="宋体" w:hint="eastAsia"/>
          <w:bCs/>
          <w:szCs w:val="32"/>
        </w:rPr>
        <w:t>选择</w:t>
      </w:r>
      <w:r>
        <w:rPr>
          <w:rFonts w:ascii="仿宋_GB2312" w:hAnsi="宋体" w:hint="eastAsia"/>
          <w:bCs/>
          <w:szCs w:val="32"/>
        </w:rPr>
        <w:t>6</w:t>
      </w:r>
      <w:r>
        <w:rPr>
          <w:rFonts w:ascii="仿宋_GB2312" w:hAnsi="宋体" w:hint="eastAsia"/>
          <w:bCs/>
          <w:szCs w:val="32"/>
        </w:rPr>
        <w:t>月龄以上、已断奶、身体健康、发育良好、食欲正常的纯种河流型水牛或杂交水牛，宜优</w:t>
      </w:r>
      <w:r>
        <w:rPr>
          <w:rFonts w:ascii="仿宋_GB2312" w:hAnsi="宋体" w:hint="eastAsia"/>
          <w:bCs/>
          <w:szCs w:val="32"/>
        </w:rPr>
        <w:t>先选择公牛。杂交水牛优先选择级进杂交二代以上、体型接近河流型水牛的个体。主要基于以下考虑：（</w:t>
      </w:r>
      <w:r>
        <w:rPr>
          <w:rFonts w:ascii="仿宋_GB2312" w:hAnsi="宋体" w:hint="eastAsia"/>
          <w:bCs/>
          <w:szCs w:val="32"/>
        </w:rPr>
        <w:t>1</w:t>
      </w:r>
      <w:r>
        <w:rPr>
          <w:rFonts w:ascii="仿宋_GB2312" w:hAnsi="宋体" w:hint="eastAsia"/>
          <w:bCs/>
          <w:szCs w:val="32"/>
        </w:rPr>
        <w:t>）</w:t>
      </w:r>
      <w:r>
        <w:rPr>
          <w:rFonts w:ascii="仿宋_GB2312" w:hAnsi="宋体" w:hint="eastAsia"/>
          <w:bCs/>
          <w:szCs w:val="32"/>
        </w:rPr>
        <w:t>6</w:t>
      </w:r>
      <w:r>
        <w:rPr>
          <w:rFonts w:ascii="仿宋_GB2312" w:hAnsi="宋体" w:hint="eastAsia"/>
          <w:bCs/>
          <w:szCs w:val="32"/>
        </w:rPr>
        <w:t>月龄是水牛犊牛瘤胃发育相对成</w:t>
      </w:r>
      <w:r>
        <w:rPr>
          <w:rFonts w:ascii="仿宋_GB2312" w:hAnsi="宋体" w:hint="eastAsia"/>
          <w:bCs/>
          <w:szCs w:val="32"/>
        </w:rPr>
        <w:lastRenderedPageBreak/>
        <w:t>熟的阶段，此时断奶后进行育肥，瘤胃功能能够较好地适应精粗饲料的消化；（</w:t>
      </w:r>
      <w:r>
        <w:rPr>
          <w:rFonts w:ascii="仿宋_GB2312" w:hAnsi="宋体" w:hint="eastAsia"/>
          <w:bCs/>
          <w:szCs w:val="32"/>
        </w:rPr>
        <w:t>2</w:t>
      </w:r>
      <w:r>
        <w:rPr>
          <w:rFonts w:ascii="仿宋_GB2312" w:hAnsi="宋体" w:hint="eastAsia"/>
          <w:bCs/>
          <w:szCs w:val="32"/>
        </w:rPr>
        <w:t>）宜优先选择公牛，因为公牛的生长速度、饲料转化效率和瘦肉率通常高于母牛，育肥经济效益更佳；（</w:t>
      </w:r>
      <w:r>
        <w:rPr>
          <w:rFonts w:ascii="仿宋_GB2312" w:hAnsi="宋体" w:hint="eastAsia"/>
          <w:bCs/>
          <w:szCs w:val="32"/>
        </w:rPr>
        <w:t>3</w:t>
      </w:r>
      <w:r>
        <w:rPr>
          <w:rFonts w:ascii="仿宋_GB2312" w:hAnsi="宋体" w:hint="eastAsia"/>
          <w:bCs/>
          <w:szCs w:val="32"/>
        </w:rPr>
        <w:t>）优先选择级进杂交二代以上的个体，是因为随着级进代数的增加，杂交后代的体型和生产性能更接近河流型水牛。</w:t>
      </w:r>
    </w:p>
    <w:p w:rsidR="009958E1" w:rsidRDefault="00CF4061">
      <w:pPr>
        <w:ind w:firstLine="640"/>
        <w:rPr>
          <w:rFonts w:ascii="仿宋_GB2312" w:hAnsi="宋体"/>
          <w:bCs/>
          <w:szCs w:val="32"/>
        </w:rPr>
      </w:pPr>
      <w:r>
        <w:rPr>
          <w:rFonts w:ascii="仿宋_GB2312" w:hAnsi="宋体" w:hint="eastAsia"/>
          <w:bCs/>
          <w:szCs w:val="32"/>
        </w:rPr>
        <w:t>过渡期：断奶牛刚断奶，瘤胃微生物区系尚不稳定，且新进场面临环境应激。</w:t>
      </w:r>
      <w:r>
        <w:rPr>
          <w:rFonts w:ascii="仿宋_GB2312" w:hAnsi="宋体" w:hint="eastAsia"/>
          <w:bCs/>
          <w:szCs w:val="32"/>
        </w:rPr>
        <w:t>30</w:t>
      </w:r>
      <w:r>
        <w:rPr>
          <w:rFonts w:ascii="仿宋_GB2312" w:hAnsi="宋体" w:hint="eastAsia"/>
          <w:bCs/>
          <w:szCs w:val="32"/>
        </w:rPr>
        <w:t>天的过渡期能够使牛只充分适应新的饲料和环境。</w:t>
      </w:r>
      <w:r>
        <w:rPr>
          <w:rFonts w:ascii="仿宋_GB2312" w:hAnsi="宋体" w:hint="eastAsia"/>
          <w:bCs/>
          <w:szCs w:val="32"/>
        </w:rPr>
        <w:t>精料由体重的</w:t>
      </w:r>
      <w:r>
        <w:rPr>
          <w:rFonts w:ascii="仿宋_GB2312" w:hAnsi="宋体" w:hint="eastAsia"/>
          <w:bCs/>
          <w:szCs w:val="32"/>
        </w:rPr>
        <w:t>0.5%</w:t>
      </w:r>
      <w:r>
        <w:rPr>
          <w:rFonts w:ascii="仿宋_GB2312" w:hAnsi="宋体" w:hint="eastAsia"/>
          <w:bCs/>
          <w:szCs w:val="32"/>
        </w:rPr>
        <w:t>逐渐增加至</w:t>
      </w:r>
      <w:r>
        <w:rPr>
          <w:rFonts w:ascii="仿宋_GB2312" w:hAnsi="宋体" w:hint="eastAsia"/>
          <w:bCs/>
          <w:szCs w:val="32"/>
        </w:rPr>
        <w:t>0.8%</w:t>
      </w:r>
      <w:r>
        <w:rPr>
          <w:rFonts w:ascii="仿宋_GB2312" w:hAnsi="宋体" w:hint="eastAsia"/>
          <w:bCs/>
          <w:szCs w:val="32"/>
        </w:rPr>
        <w:t>～</w:t>
      </w:r>
      <w:r>
        <w:rPr>
          <w:rFonts w:ascii="仿宋_GB2312" w:hAnsi="宋体" w:hint="eastAsia"/>
          <w:bCs/>
          <w:szCs w:val="32"/>
        </w:rPr>
        <w:t>1.0%</w:t>
      </w:r>
      <w:r>
        <w:rPr>
          <w:rFonts w:ascii="仿宋_GB2312" w:hAnsi="宋体" w:hint="eastAsia"/>
          <w:bCs/>
          <w:szCs w:val="32"/>
        </w:rPr>
        <w:t>，这种渐进式增加有利于瘤胃微生物逐步适应精料中的淀粉等易发酵碳水化合物，预防瘤胃酸中毒。团队前期发表的文字《不同处理象草与精料配合方式对青年奶水牛生长性能、肉用性能及血液生化指标的影响》也</w:t>
      </w:r>
      <w:r>
        <w:rPr>
          <w:rFonts w:ascii="仿宋_GB2312" w:hAnsi="宋体"/>
          <w:bCs/>
          <w:szCs w:val="32"/>
        </w:rPr>
        <w:t>表明，象草青贮</w:t>
      </w:r>
      <w:r>
        <w:rPr>
          <w:rFonts w:ascii="仿宋_GB2312" w:hAnsi="宋体"/>
          <w:bCs/>
          <w:szCs w:val="32"/>
        </w:rPr>
        <w:t>+</w:t>
      </w:r>
      <w:r>
        <w:rPr>
          <w:rFonts w:ascii="仿宋_GB2312" w:hAnsi="宋体"/>
          <w:bCs/>
          <w:szCs w:val="32"/>
        </w:rPr>
        <w:t>精料模式能有效提高干物质采食量和日增重，该模式可应用于断奶牛的过渡期管理</w:t>
      </w:r>
      <w:r>
        <w:rPr>
          <w:rFonts w:ascii="仿宋_GB2312" w:hAnsi="宋体" w:hint="eastAsia"/>
          <w:bCs/>
          <w:szCs w:val="32"/>
        </w:rPr>
        <w:t>。</w:t>
      </w:r>
    </w:p>
    <w:p w:rsidR="009958E1" w:rsidRDefault="00CF4061">
      <w:pPr>
        <w:ind w:firstLineChars="0" w:firstLine="0"/>
        <w:jc w:val="center"/>
      </w:pPr>
      <w:r>
        <w:rPr>
          <w:noProof/>
        </w:rPr>
        <w:drawing>
          <wp:inline distT="0" distB="0" distL="114300" distR="114300">
            <wp:extent cx="4409440" cy="2491105"/>
            <wp:effectExtent l="9525" t="9525" r="13335" b="1397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1"/>
                    <a:stretch>
                      <a:fillRect/>
                    </a:stretch>
                  </pic:blipFill>
                  <pic:spPr>
                    <a:xfrm>
                      <a:off x="0" y="0"/>
                      <a:ext cx="4409440" cy="2491105"/>
                    </a:xfrm>
                    <a:prstGeom prst="rect">
                      <a:avLst/>
                    </a:prstGeom>
                    <a:noFill/>
                    <a:ln>
                      <a:solidFill>
                        <a:schemeClr val="tx1"/>
                      </a:solidFill>
                    </a:ln>
                  </pic:spPr>
                </pic:pic>
              </a:graphicData>
            </a:graphic>
          </wp:inline>
        </w:drawing>
      </w:r>
    </w:p>
    <w:p w:rsidR="009958E1" w:rsidRDefault="00CF4061">
      <w:pPr>
        <w:ind w:firstLineChars="0" w:firstLine="0"/>
        <w:jc w:val="center"/>
      </w:pPr>
      <w:r>
        <w:rPr>
          <w:rFonts w:hint="eastAsia"/>
        </w:rPr>
        <w:t>来源：梁辛等，《不同处理象草与精料配合方式对青年奶水牛生长性能、肉用性能及血液生化指标的影响》</w:t>
      </w:r>
    </w:p>
    <w:p w:rsidR="009958E1" w:rsidRDefault="00CF4061">
      <w:pPr>
        <w:ind w:firstLine="640"/>
        <w:rPr>
          <w:rFonts w:ascii="仿宋_GB2312" w:hAnsi="宋体"/>
          <w:bCs/>
          <w:szCs w:val="32"/>
        </w:rPr>
      </w:pPr>
      <w:r>
        <w:rPr>
          <w:rFonts w:ascii="仿宋_GB2312" w:hAnsi="宋体" w:hint="eastAsia"/>
          <w:bCs/>
          <w:szCs w:val="32"/>
          <w:lang w:val="zh-CN"/>
        </w:rPr>
        <w:lastRenderedPageBreak/>
        <w:t>分阶段育肥：</w:t>
      </w:r>
      <w:r>
        <w:rPr>
          <w:rFonts w:ascii="仿宋_GB2312" w:hAnsi="宋体" w:hint="eastAsia"/>
          <w:bCs/>
          <w:szCs w:val="32"/>
        </w:rPr>
        <w:t>主要分为快速增重期和沉积脂肪期。快速增重期进一步分为前期和后期，前期（断</w:t>
      </w:r>
      <w:r>
        <w:rPr>
          <w:rFonts w:ascii="仿宋_GB2312" w:hAnsi="宋体" w:hint="eastAsia"/>
          <w:bCs/>
          <w:szCs w:val="32"/>
        </w:rPr>
        <w:t>奶～</w:t>
      </w:r>
      <w:r>
        <w:rPr>
          <w:rFonts w:ascii="仿宋_GB2312" w:hAnsi="宋体" w:hint="eastAsia"/>
          <w:bCs/>
          <w:szCs w:val="32"/>
        </w:rPr>
        <w:t>12</w:t>
      </w:r>
      <w:r>
        <w:rPr>
          <w:rFonts w:ascii="仿宋_GB2312" w:hAnsi="宋体" w:hint="eastAsia"/>
          <w:bCs/>
          <w:szCs w:val="32"/>
        </w:rPr>
        <w:t>月龄）以骨骼和肌肉组织生长为主，需要较高的粗蛋白水平；后期（</w:t>
      </w:r>
      <w:r>
        <w:rPr>
          <w:rFonts w:ascii="仿宋_GB2312" w:hAnsi="宋体" w:hint="eastAsia"/>
          <w:bCs/>
          <w:szCs w:val="32"/>
        </w:rPr>
        <w:t>13</w:t>
      </w:r>
      <w:r>
        <w:rPr>
          <w:rFonts w:ascii="仿宋_GB2312" w:hAnsi="宋体" w:hint="eastAsia"/>
          <w:bCs/>
          <w:szCs w:val="32"/>
        </w:rPr>
        <w:t>～</w:t>
      </w:r>
      <w:r>
        <w:rPr>
          <w:rFonts w:ascii="仿宋_GB2312" w:hAnsi="宋体" w:hint="eastAsia"/>
          <w:bCs/>
          <w:szCs w:val="32"/>
        </w:rPr>
        <w:t>18</w:t>
      </w:r>
      <w:r>
        <w:rPr>
          <w:rFonts w:ascii="仿宋_GB2312" w:hAnsi="宋体" w:hint="eastAsia"/>
          <w:bCs/>
          <w:szCs w:val="32"/>
        </w:rPr>
        <w:t>月龄）肌肉生长速度加快，需适当提高能量供给，粗蛋白需求相对下降。推荐的粗蛋白水平（</w:t>
      </w:r>
      <w:r>
        <w:rPr>
          <w:rFonts w:ascii="仿宋_GB2312" w:hAnsi="宋体" w:hint="eastAsia"/>
          <w:bCs/>
          <w:szCs w:val="32"/>
        </w:rPr>
        <w:t>14%</w:t>
      </w:r>
      <w:r>
        <w:rPr>
          <w:rFonts w:ascii="仿宋_GB2312" w:hAnsi="宋体" w:hint="eastAsia"/>
          <w:bCs/>
          <w:szCs w:val="32"/>
        </w:rPr>
        <w:t>～</w:t>
      </w:r>
      <w:r>
        <w:rPr>
          <w:rFonts w:ascii="仿宋_GB2312" w:hAnsi="宋体" w:hint="eastAsia"/>
          <w:bCs/>
          <w:szCs w:val="32"/>
        </w:rPr>
        <w:t>16%</w:t>
      </w:r>
      <w:r>
        <w:rPr>
          <w:rFonts w:ascii="仿宋_GB2312" w:hAnsi="宋体" w:hint="eastAsia"/>
          <w:bCs/>
          <w:szCs w:val="32"/>
        </w:rPr>
        <w:t>）主要结合团队前期发表的文章《饲粮粗蛋白质水平对</w:t>
      </w:r>
      <w:r>
        <w:rPr>
          <w:rFonts w:ascii="仿宋_GB2312" w:hAnsi="宋体" w:hint="eastAsia"/>
          <w:bCs/>
          <w:szCs w:val="32"/>
        </w:rPr>
        <w:t>5~9</w:t>
      </w:r>
      <w:r>
        <w:rPr>
          <w:rFonts w:ascii="仿宋_GB2312" w:hAnsi="宋体" w:hint="eastAsia"/>
          <w:bCs/>
          <w:szCs w:val="32"/>
        </w:rPr>
        <w:t>月龄生长水牛生长性能、养分表观消化率和瘤胃发酵参数的影响及其可消化粗蛋白质需要量的预测》进行明确。该研究证实，</w:t>
      </w:r>
      <w:r>
        <w:rPr>
          <w:rFonts w:ascii="仿宋_GB2312" w:hAnsi="宋体" w:hint="eastAsia"/>
          <w:bCs/>
          <w:szCs w:val="32"/>
        </w:rPr>
        <w:t>15.64%</w:t>
      </w:r>
      <w:r>
        <w:rPr>
          <w:rFonts w:ascii="仿宋_GB2312" w:hAnsi="宋体" w:hint="eastAsia"/>
          <w:bCs/>
          <w:szCs w:val="32"/>
        </w:rPr>
        <w:t>粗蛋白水平组的平均日增重（</w:t>
      </w:r>
      <w:r>
        <w:rPr>
          <w:rFonts w:ascii="仿宋_GB2312" w:hAnsi="宋体" w:hint="eastAsia"/>
          <w:bCs/>
          <w:szCs w:val="32"/>
        </w:rPr>
        <w:t>0.94 kg/d</w:t>
      </w:r>
      <w:r>
        <w:rPr>
          <w:rFonts w:ascii="仿宋_GB2312" w:hAnsi="宋体" w:hint="eastAsia"/>
          <w:bCs/>
          <w:szCs w:val="32"/>
        </w:rPr>
        <w:t>）和干物质采食量（</w:t>
      </w:r>
      <w:r>
        <w:rPr>
          <w:rFonts w:ascii="仿宋_GB2312" w:hAnsi="宋体" w:hint="eastAsia"/>
          <w:bCs/>
          <w:szCs w:val="32"/>
        </w:rPr>
        <w:t>4.60 kg/d</w:t>
      </w:r>
      <w:r>
        <w:rPr>
          <w:rFonts w:ascii="仿宋_GB2312" w:hAnsi="宋体" w:hint="eastAsia"/>
          <w:bCs/>
          <w:szCs w:val="32"/>
        </w:rPr>
        <w:t>）均显著高于低蛋白组，且养分表观消化率最佳。</w:t>
      </w:r>
    </w:p>
    <w:p w:rsidR="009958E1" w:rsidRDefault="00CF4061">
      <w:pPr>
        <w:ind w:firstLineChars="0" w:firstLine="0"/>
        <w:jc w:val="center"/>
        <w:rPr>
          <w:rFonts w:ascii="仿宋_GB2312" w:hAnsi="宋体"/>
          <w:bCs/>
          <w:szCs w:val="32"/>
          <w:lang w:val="zh-CN"/>
        </w:rPr>
      </w:pPr>
      <w:r>
        <w:rPr>
          <w:noProof/>
        </w:rPr>
        <w:drawing>
          <wp:inline distT="0" distB="0" distL="114300" distR="114300">
            <wp:extent cx="2874645" cy="3309620"/>
            <wp:effectExtent l="9525" t="9525" r="11430" b="2095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2"/>
                    <a:stretch>
                      <a:fillRect/>
                    </a:stretch>
                  </pic:blipFill>
                  <pic:spPr>
                    <a:xfrm>
                      <a:off x="0" y="0"/>
                      <a:ext cx="2874645" cy="3309620"/>
                    </a:xfrm>
                    <a:prstGeom prst="rect">
                      <a:avLst/>
                    </a:prstGeom>
                    <a:noFill/>
                    <a:ln>
                      <a:solidFill>
                        <a:schemeClr val="tx1"/>
                      </a:solidFill>
                    </a:ln>
                  </pic:spPr>
                </pic:pic>
              </a:graphicData>
            </a:graphic>
          </wp:inline>
        </w:drawing>
      </w:r>
    </w:p>
    <w:p w:rsidR="009958E1" w:rsidRDefault="00CF4061">
      <w:pPr>
        <w:ind w:firstLineChars="0" w:firstLine="0"/>
        <w:jc w:val="center"/>
        <w:rPr>
          <w:rFonts w:ascii="仿宋_GB2312" w:hAnsi="宋体"/>
          <w:bCs/>
          <w:szCs w:val="32"/>
        </w:rPr>
      </w:pPr>
      <w:r>
        <w:rPr>
          <w:rFonts w:ascii="仿宋_GB2312" w:hAnsi="宋体" w:hint="eastAsia"/>
          <w:bCs/>
          <w:szCs w:val="32"/>
        </w:rPr>
        <w:t>来源：阮莉珺等，《饲粮粗蛋白质水平对</w:t>
      </w:r>
      <w:r>
        <w:rPr>
          <w:rFonts w:ascii="仿宋_GB2312" w:hAnsi="宋体" w:hint="eastAsia"/>
          <w:bCs/>
          <w:szCs w:val="32"/>
        </w:rPr>
        <w:t>5~9</w:t>
      </w:r>
      <w:r>
        <w:rPr>
          <w:rFonts w:ascii="仿宋_GB2312" w:hAnsi="宋体" w:hint="eastAsia"/>
          <w:bCs/>
          <w:szCs w:val="32"/>
        </w:rPr>
        <w:t>月龄生长水牛生长性能、养分表观消化率和瘤胃发酵参数的影响及其可消化粗蛋白质需要量的预测》</w:t>
      </w:r>
    </w:p>
    <w:p w:rsidR="009958E1" w:rsidRDefault="00CF4061">
      <w:pPr>
        <w:ind w:firstLine="640"/>
        <w:rPr>
          <w:rFonts w:ascii="仿宋_GB2312" w:hAnsi="宋体"/>
          <w:bCs/>
          <w:szCs w:val="32"/>
        </w:rPr>
      </w:pPr>
      <w:r>
        <w:rPr>
          <w:rFonts w:ascii="仿宋_GB2312" w:hAnsi="宋体" w:hint="eastAsia"/>
          <w:bCs/>
          <w:szCs w:val="32"/>
          <w:lang w:val="zh-CN"/>
        </w:rPr>
        <w:lastRenderedPageBreak/>
        <w:t>沉积脂肪期（</w:t>
      </w:r>
      <w:r>
        <w:rPr>
          <w:rFonts w:ascii="仿宋_GB2312" w:hAnsi="宋体" w:hint="eastAsia"/>
          <w:bCs/>
          <w:szCs w:val="32"/>
          <w:lang w:val="zh-CN"/>
        </w:rPr>
        <w:t>18</w:t>
      </w:r>
      <w:r>
        <w:rPr>
          <w:rFonts w:ascii="仿宋_GB2312" w:hAnsi="宋体" w:hint="eastAsia"/>
          <w:bCs/>
          <w:szCs w:val="32"/>
          <w:lang w:val="zh-CN"/>
        </w:rPr>
        <w:t>月龄～出栏）</w:t>
      </w:r>
      <w:r>
        <w:rPr>
          <w:rFonts w:ascii="仿宋_GB2312" w:hAnsi="宋体" w:hint="eastAsia"/>
          <w:bCs/>
          <w:szCs w:val="32"/>
        </w:rPr>
        <w:t>则应调整精料水平占活体重比为</w:t>
      </w:r>
      <w:r>
        <w:rPr>
          <w:rFonts w:ascii="仿宋_GB2312" w:hAnsi="宋体" w:hint="eastAsia"/>
          <w:bCs/>
          <w:szCs w:val="32"/>
        </w:rPr>
        <w:t>1.2%</w:t>
      </w:r>
      <w:r>
        <w:rPr>
          <w:rFonts w:ascii="仿宋_GB2312" w:hAnsi="宋体" w:hint="eastAsia"/>
          <w:bCs/>
          <w:szCs w:val="32"/>
        </w:rPr>
        <w:t>～</w:t>
      </w:r>
      <w:r>
        <w:rPr>
          <w:rFonts w:ascii="仿宋_GB2312" w:hAnsi="宋体" w:hint="eastAsia"/>
          <w:bCs/>
          <w:szCs w:val="32"/>
        </w:rPr>
        <w:t>1.4%</w:t>
      </w:r>
      <w:r>
        <w:rPr>
          <w:rFonts w:ascii="仿宋_GB2312" w:hAnsi="宋体" w:hint="eastAsia"/>
          <w:bCs/>
          <w:szCs w:val="32"/>
        </w:rPr>
        <w:t>，同时将日粮粗蛋白水平降低至</w:t>
      </w:r>
      <w:r>
        <w:rPr>
          <w:rFonts w:ascii="仿宋_GB2312" w:hAnsi="宋体" w:hint="eastAsia"/>
          <w:bCs/>
          <w:szCs w:val="32"/>
        </w:rPr>
        <w:t>10%</w:t>
      </w:r>
      <w:r>
        <w:rPr>
          <w:rFonts w:ascii="仿宋_GB2312" w:hAnsi="宋体" w:hint="eastAsia"/>
          <w:bCs/>
          <w:szCs w:val="32"/>
        </w:rPr>
        <w:t>～</w:t>
      </w:r>
      <w:r>
        <w:rPr>
          <w:rFonts w:ascii="仿宋_GB2312" w:hAnsi="宋体" w:hint="eastAsia"/>
          <w:bCs/>
          <w:szCs w:val="32"/>
        </w:rPr>
        <w:t>12%</w:t>
      </w:r>
      <w:r>
        <w:rPr>
          <w:rFonts w:ascii="仿宋_GB2312" w:hAnsi="宋体" w:hint="eastAsia"/>
          <w:bCs/>
          <w:szCs w:val="32"/>
        </w:rPr>
        <w:t>，促进牛体肌内脂肪沉积。育肥后期的主要目标是促进肌内脂肪沉积，改善肉品的嫩度、多汁性和风味。为此，需要降低蛋白质供给，提高能量水平，促进能量向脂肪转化，</w:t>
      </w:r>
      <w:r>
        <w:rPr>
          <w:rFonts w:ascii="仿宋_GB2312" w:hAnsi="宋体" w:hint="eastAsia"/>
          <w:bCs/>
          <w:szCs w:val="32"/>
        </w:rPr>
        <w:t>10%</w:t>
      </w:r>
      <w:r>
        <w:rPr>
          <w:rFonts w:ascii="仿宋_GB2312" w:hAnsi="宋体" w:hint="eastAsia"/>
          <w:bCs/>
          <w:szCs w:val="32"/>
        </w:rPr>
        <w:t>～</w:t>
      </w:r>
      <w:r>
        <w:rPr>
          <w:rFonts w:ascii="仿宋_GB2312" w:hAnsi="宋体" w:hint="eastAsia"/>
          <w:bCs/>
          <w:szCs w:val="32"/>
        </w:rPr>
        <w:t>12%</w:t>
      </w:r>
      <w:r>
        <w:rPr>
          <w:rFonts w:ascii="仿宋_GB2312" w:hAnsi="宋体" w:hint="eastAsia"/>
          <w:bCs/>
          <w:szCs w:val="32"/>
        </w:rPr>
        <w:t>的粗蛋白水平在满足水牛维持和增重需要的前提下，能够促进能量向脂肪沉积转化。</w:t>
      </w:r>
    </w:p>
    <w:p w:rsidR="009958E1" w:rsidRDefault="00CF4061">
      <w:pPr>
        <w:numPr>
          <w:ilvl w:val="0"/>
          <w:numId w:val="19"/>
        </w:numPr>
        <w:ind w:firstLine="640"/>
        <w:rPr>
          <w:rFonts w:ascii="仿宋_GB2312" w:hAnsi="宋体"/>
          <w:bCs/>
          <w:szCs w:val="32"/>
        </w:rPr>
      </w:pPr>
      <w:r>
        <w:rPr>
          <w:rFonts w:ascii="仿宋_GB2312" w:hAnsi="宋体" w:hint="eastAsia"/>
          <w:bCs/>
          <w:szCs w:val="32"/>
        </w:rPr>
        <w:t>架子牛</w:t>
      </w:r>
    </w:p>
    <w:p w:rsidR="009958E1" w:rsidRDefault="00CF4061">
      <w:pPr>
        <w:ind w:firstLine="640"/>
        <w:rPr>
          <w:rFonts w:ascii="仿宋_GB2312" w:hAnsi="宋体"/>
          <w:bCs/>
          <w:szCs w:val="32"/>
        </w:rPr>
      </w:pPr>
      <w:r>
        <w:rPr>
          <w:rFonts w:ascii="仿宋_GB2312" w:hAnsi="宋体"/>
          <w:bCs/>
          <w:szCs w:val="32"/>
        </w:rPr>
        <w:t>架子牛选择</w:t>
      </w:r>
      <w:r>
        <w:rPr>
          <w:rFonts w:ascii="仿宋_GB2312" w:hAnsi="宋体" w:hint="eastAsia"/>
          <w:bCs/>
          <w:szCs w:val="32"/>
        </w:rPr>
        <w:t>：规</w:t>
      </w:r>
      <w:r>
        <w:rPr>
          <w:rFonts w:ascii="仿宋_GB2312" w:hAnsi="宋体" w:hint="eastAsia"/>
          <w:bCs/>
          <w:szCs w:val="32"/>
        </w:rPr>
        <w:t>定了选择</w:t>
      </w:r>
      <w:r>
        <w:rPr>
          <w:rFonts w:ascii="仿宋_GB2312" w:hAnsi="宋体" w:hint="eastAsia"/>
          <w:bCs/>
          <w:szCs w:val="32"/>
        </w:rPr>
        <w:t>1</w:t>
      </w:r>
      <w:r>
        <w:rPr>
          <w:rFonts w:ascii="仿宋_GB2312" w:hAnsi="宋体" w:hint="eastAsia"/>
          <w:bCs/>
          <w:szCs w:val="32"/>
        </w:rPr>
        <w:t>～</w:t>
      </w:r>
      <w:r>
        <w:rPr>
          <w:rFonts w:ascii="仿宋_GB2312" w:hAnsi="宋体" w:hint="eastAsia"/>
          <w:bCs/>
          <w:szCs w:val="32"/>
        </w:rPr>
        <w:t>2</w:t>
      </w:r>
      <w:r>
        <w:rPr>
          <w:rFonts w:ascii="仿宋_GB2312" w:hAnsi="宋体" w:hint="eastAsia"/>
          <w:bCs/>
          <w:szCs w:val="32"/>
        </w:rPr>
        <w:t>岁的纯种河流型水牛或杂交水牛架子牛（有条件的公牛可完成去势）。杂交水牛宜选择体型匀称、生长潜力大的个体。主要就以下考虑：（</w:t>
      </w:r>
      <w:r>
        <w:rPr>
          <w:rFonts w:ascii="仿宋_GB2312" w:hAnsi="宋体" w:hint="eastAsia"/>
          <w:bCs/>
          <w:szCs w:val="32"/>
        </w:rPr>
        <w:t>1</w:t>
      </w:r>
      <w:r>
        <w:rPr>
          <w:rFonts w:ascii="仿宋_GB2312" w:hAnsi="宋体" w:hint="eastAsia"/>
          <w:bCs/>
          <w:szCs w:val="32"/>
        </w:rPr>
        <w:t>）</w:t>
      </w:r>
      <w:r>
        <w:rPr>
          <w:rFonts w:ascii="仿宋_GB2312" w:hAnsi="宋体" w:hint="eastAsia"/>
          <w:bCs/>
          <w:szCs w:val="32"/>
        </w:rPr>
        <w:t>1</w:t>
      </w:r>
      <w:r>
        <w:rPr>
          <w:rFonts w:ascii="仿宋_GB2312" w:hAnsi="宋体" w:hint="eastAsia"/>
          <w:bCs/>
          <w:szCs w:val="32"/>
        </w:rPr>
        <w:t>～</w:t>
      </w:r>
      <w:r>
        <w:rPr>
          <w:rFonts w:ascii="仿宋_GB2312" w:hAnsi="宋体" w:hint="eastAsia"/>
          <w:bCs/>
          <w:szCs w:val="32"/>
        </w:rPr>
        <w:t>2</w:t>
      </w:r>
      <w:r>
        <w:rPr>
          <w:rFonts w:ascii="仿宋_GB2312" w:hAnsi="宋体" w:hint="eastAsia"/>
          <w:bCs/>
          <w:szCs w:val="32"/>
        </w:rPr>
        <w:t>岁的水牛骨骼基本发育完成，进入肌肉快速生长期，此时进行育肥，生长潜力大，饲料转化效率高。（</w:t>
      </w:r>
      <w:r>
        <w:rPr>
          <w:rFonts w:ascii="仿宋_GB2312" w:hAnsi="宋体" w:hint="eastAsia"/>
          <w:bCs/>
          <w:szCs w:val="32"/>
        </w:rPr>
        <w:t>2</w:t>
      </w:r>
      <w:r>
        <w:rPr>
          <w:rFonts w:ascii="仿宋_GB2312" w:hAnsi="宋体" w:hint="eastAsia"/>
          <w:bCs/>
          <w:szCs w:val="32"/>
        </w:rPr>
        <w:t>）去势后的公牛性情温顺，便于管理，且肉品质（如大理石花纹）更佳。（</w:t>
      </w:r>
      <w:r>
        <w:rPr>
          <w:rFonts w:ascii="仿宋_GB2312" w:hAnsi="宋体" w:hint="eastAsia"/>
          <w:bCs/>
          <w:szCs w:val="32"/>
        </w:rPr>
        <w:t>3</w:t>
      </w:r>
      <w:r>
        <w:rPr>
          <w:rFonts w:ascii="仿宋_GB2312" w:hAnsi="宋体" w:hint="eastAsia"/>
          <w:bCs/>
          <w:szCs w:val="32"/>
        </w:rPr>
        <w:t>）体型匀称、生长潜力大的个体能够获得更高的育肥效益。</w:t>
      </w:r>
    </w:p>
    <w:p w:rsidR="009958E1" w:rsidRDefault="00CF4061">
      <w:pPr>
        <w:ind w:firstLine="640"/>
        <w:rPr>
          <w:rFonts w:ascii="仿宋_GB2312" w:hAnsi="宋体"/>
          <w:bCs/>
          <w:szCs w:val="32"/>
        </w:rPr>
      </w:pPr>
      <w:r>
        <w:rPr>
          <w:rFonts w:ascii="仿宋_GB2312" w:hAnsi="宋体" w:hint="eastAsia"/>
          <w:bCs/>
          <w:szCs w:val="32"/>
        </w:rPr>
        <w:t>适应期：架子牛的抗逆性较强，适应期可略短于断奶牛。</w:t>
      </w:r>
      <w:r>
        <w:rPr>
          <w:rFonts w:ascii="仿宋_GB2312" w:hAnsi="宋体" w:hint="eastAsia"/>
          <w:bCs/>
          <w:szCs w:val="32"/>
        </w:rPr>
        <w:t>7</w:t>
      </w:r>
      <w:r>
        <w:rPr>
          <w:rFonts w:ascii="仿宋_GB2312" w:hAnsi="宋体" w:hint="eastAsia"/>
          <w:bCs/>
          <w:szCs w:val="32"/>
        </w:rPr>
        <w:t>～</w:t>
      </w:r>
      <w:r>
        <w:rPr>
          <w:rFonts w:ascii="仿宋_GB2312" w:hAnsi="宋体" w:hint="eastAsia"/>
          <w:bCs/>
          <w:szCs w:val="32"/>
        </w:rPr>
        <w:t>10</w:t>
      </w:r>
      <w:r>
        <w:rPr>
          <w:rFonts w:ascii="仿宋_GB2312" w:hAnsi="宋体" w:hint="eastAsia"/>
          <w:bCs/>
          <w:szCs w:val="32"/>
        </w:rPr>
        <w:t>天的适应期足以使牛只恢复体况、适应新环境，且在适应期内完成驱虫和免疫，可确保牛只以健康状态进入</w:t>
      </w:r>
      <w:r>
        <w:rPr>
          <w:rFonts w:ascii="仿宋_GB2312" w:hAnsi="宋体" w:hint="eastAsia"/>
          <w:bCs/>
          <w:szCs w:val="32"/>
        </w:rPr>
        <w:t>育肥期，避免疾病干扰育肥效果。因此，规定牛只进场后给予</w:t>
      </w:r>
      <w:r>
        <w:rPr>
          <w:rFonts w:ascii="仿宋_GB2312" w:hAnsi="宋体" w:hint="eastAsia"/>
          <w:bCs/>
          <w:szCs w:val="32"/>
        </w:rPr>
        <w:t>7d</w:t>
      </w:r>
      <w:r>
        <w:rPr>
          <w:rFonts w:ascii="仿宋_GB2312" w:hAnsi="宋体" w:hint="eastAsia"/>
          <w:bCs/>
          <w:szCs w:val="32"/>
        </w:rPr>
        <w:t>～</w:t>
      </w:r>
      <w:r>
        <w:rPr>
          <w:rFonts w:ascii="仿宋_GB2312" w:hAnsi="宋体" w:hint="eastAsia"/>
          <w:bCs/>
          <w:szCs w:val="32"/>
        </w:rPr>
        <w:t>10d</w:t>
      </w:r>
      <w:r>
        <w:rPr>
          <w:rFonts w:ascii="仿宋_GB2312" w:hAnsi="宋体" w:hint="eastAsia"/>
          <w:bCs/>
          <w:szCs w:val="32"/>
        </w:rPr>
        <w:t>适应期，使其适应新环境及饲料条件，缓解应激，恢复体况。期间进行健康监测，驱虫和免疫应在适应期内完成。</w:t>
      </w:r>
    </w:p>
    <w:p w:rsidR="009958E1" w:rsidRDefault="00CF4061">
      <w:pPr>
        <w:ind w:firstLine="640"/>
        <w:rPr>
          <w:rFonts w:ascii="仿宋_GB2312" w:hAnsi="宋体"/>
          <w:bCs/>
          <w:szCs w:val="32"/>
        </w:rPr>
      </w:pPr>
      <w:r>
        <w:rPr>
          <w:rFonts w:ascii="仿宋_GB2312" w:hAnsi="宋体"/>
          <w:bCs/>
          <w:szCs w:val="32"/>
        </w:rPr>
        <w:t>育肥</w:t>
      </w:r>
      <w:r>
        <w:rPr>
          <w:rFonts w:ascii="仿宋_GB2312" w:hAnsi="宋体" w:hint="eastAsia"/>
          <w:bCs/>
          <w:szCs w:val="32"/>
        </w:rPr>
        <w:t>：结合起草单位团队前期的研究，总结了分阶段育肥和</w:t>
      </w:r>
      <w:r>
        <w:rPr>
          <w:rFonts w:ascii="仿宋_GB2312" w:hAnsi="宋体" w:hint="eastAsia"/>
          <w:bCs/>
          <w:szCs w:val="32"/>
        </w:rPr>
        <w:lastRenderedPageBreak/>
        <w:t>短期育肥两种模式。分阶段育肥适用于年龄较小（</w:t>
      </w:r>
      <w:r>
        <w:rPr>
          <w:rFonts w:ascii="仿宋_GB2312" w:hAnsi="宋体" w:hint="eastAsia"/>
          <w:bCs/>
          <w:szCs w:val="32"/>
        </w:rPr>
        <w:t>1</w:t>
      </w:r>
      <w:r>
        <w:rPr>
          <w:rFonts w:ascii="仿宋_GB2312" w:hAnsi="宋体" w:hint="eastAsia"/>
          <w:bCs/>
          <w:szCs w:val="32"/>
        </w:rPr>
        <w:t>～</w:t>
      </w:r>
      <w:r>
        <w:rPr>
          <w:rFonts w:ascii="仿宋_GB2312" w:hAnsi="宋体" w:hint="eastAsia"/>
          <w:bCs/>
          <w:szCs w:val="32"/>
        </w:rPr>
        <w:t>1.5</w:t>
      </w:r>
      <w:r>
        <w:rPr>
          <w:rFonts w:ascii="仿宋_GB2312" w:hAnsi="宋体" w:hint="eastAsia"/>
          <w:bCs/>
          <w:szCs w:val="32"/>
        </w:rPr>
        <w:t>岁）的架子牛，通过前期“壮骨架”、后期“催肥”的两阶段模式，实现最佳育肥效果，而短期育肥适用于年龄较大（</w:t>
      </w:r>
      <w:r>
        <w:rPr>
          <w:rFonts w:ascii="仿宋_GB2312" w:hAnsi="宋体" w:hint="eastAsia"/>
          <w:bCs/>
          <w:szCs w:val="32"/>
        </w:rPr>
        <w:t>1.5</w:t>
      </w:r>
      <w:r>
        <w:rPr>
          <w:rFonts w:ascii="仿宋_GB2312" w:hAnsi="宋体" w:hint="eastAsia"/>
          <w:bCs/>
          <w:szCs w:val="32"/>
        </w:rPr>
        <w:t>～</w:t>
      </w:r>
      <w:r>
        <w:rPr>
          <w:rFonts w:ascii="仿宋_GB2312" w:hAnsi="宋体" w:hint="eastAsia"/>
          <w:bCs/>
          <w:szCs w:val="32"/>
        </w:rPr>
        <w:t>2</w:t>
      </w:r>
      <w:r>
        <w:rPr>
          <w:rFonts w:ascii="仿宋_GB2312" w:hAnsi="宋体" w:hint="eastAsia"/>
          <w:bCs/>
          <w:szCs w:val="32"/>
        </w:rPr>
        <w:t>岁）的架子牛，直接采用高精料强化育肥，快速出栏。育肥前期推荐的粗蛋白水平（</w:t>
      </w:r>
      <w:r>
        <w:rPr>
          <w:rFonts w:ascii="仿宋_GB2312" w:hAnsi="宋体" w:hint="eastAsia"/>
          <w:bCs/>
          <w:szCs w:val="32"/>
        </w:rPr>
        <w:t>12%</w:t>
      </w:r>
      <w:r>
        <w:rPr>
          <w:rFonts w:ascii="仿宋_GB2312" w:hAnsi="宋体" w:hint="eastAsia"/>
          <w:bCs/>
          <w:szCs w:val="32"/>
        </w:rPr>
        <w:t>～</w:t>
      </w:r>
      <w:r>
        <w:rPr>
          <w:rFonts w:ascii="仿宋_GB2312" w:hAnsi="宋体" w:hint="eastAsia"/>
          <w:bCs/>
          <w:szCs w:val="32"/>
        </w:rPr>
        <w:t>14%</w:t>
      </w:r>
      <w:r>
        <w:rPr>
          <w:rFonts w:ascii="仿宋_GB2312" w:hAnsi="宋体" w:hint="eastAsia"/>
          <w:bCs/>
          <w:szCs w:val="32"/>
        </w:rPr>
        <w:t>）主要结合团队前期发表的文章《花生藤</w:t>
      </w:r>
      <w:r>
        <w:rPr>
          <w:rFonts w:ascii="仿宋_GB2312" w:hAnsi="宋体" w:hint="eastAsia"/>
          <w:bCs/>
          <w:szCs w:val="32"/>
        </w:rPr>
        <w:t>与青贮玉米组合对生长期水牛能量与氮消化代谢率的影响》进行明确，该研究证实，花生藤与青贮玉米组合能显著提高干物质采食量、有机物和中性洗涤纤维的表观消化率，以及总能消化率和代谢率。</w:t>
      </w:r>
    </w:p>
    <w:p w:rsidR="009958E1" w:rsidRDefault="00CF4061">
      <w:pPr>
        <w:ind w:firstLineChars="0" w:firstLine="0"/>
        <w:jc w:val="center"/>
        <w:rPr>
          <w:rFonts w:ascii="仿宋_GB2312" w:hAnsi="宋体"/>
          <w:bCs/>
          <w:szCs w:val="32"/>
        </w:rPr>
      </w:pPr>
      <w:r>
        <w:rPr>
          <w:noProof/>
        </w:rPr>
        <w:drawing>
          <wp:inline distT="0" distB="0" distL="114300" distR="114300">
            <wp:extent cx="4264025" cy="3046095"/>
            <wp:effectExtent l="9525" t="9525" r="19050" b="1778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3"/>
                    <a:stretch>
                      <a:fillRect/>
                    </a:stretch>
                  </pic:blipFill>
                  <pic:spPr>
                    <a:xfrm>
                      <a:off x="0" y="0"/>
                      <a:ext cx="4264025" cy="3046095"/>
                    </a:xfrm>
                    <a:prstGeom prst="rect">
                      <a:avLst/>
                    </a:prstGeom>
                    <a:noFill/>
                    <a:ln>
                      <a:solidFill>
                        <a:schemeClr val="tx1"/>
                      </a:solidFill>
                    </a:ln>
                  </pic:spPr>
                </pic:pic>
              </a:graphicData>
            </a:graphic>
          </wp:inline>
        </w:drawing>
      </w:r>
    </w:p>
    <w:p w:rsidR="009958E1" w:rsidRDefault="00CF4061">
      <w:pPr>
        <w:ind w:firstLineChars="0" w:firstLine="0"/>
        <w:jc w:val="center"/>
        <w:rPr>
          <w:rFonts w:ascii="仿宋_GB2312" w:hAnsi="宋体"/>
          <w:bCs/>
          <w:szCs w:val="32"/>
        </w:rPr>
      </w:pPr>
      <w:r>
        <w:rPr>
          <w:rFonts w:ascii="仿宋_GB2312" w:hAnsi="宋体" w:hint="eastAsia"/>
          <w:bCs/>
          <w:szCs w:val="32"/>
        </w:rPr>
        <w:t>来源：邱冬文等，《花生藤与青贮玉米组合对生长期水牛能量与氮消化代谢率的影响》</w:t>
      </w:r>
    </w:p>
    <w:p w:rsidR="009958E1" w:rsidRDefault="00CF4061">
      <w:pPr>
        <w:ind w:firstLine="640"/>
        <w:rPr>
          <w:rFonts w:ascii="仿宋_GB2312" w:hAnsi="宋体"/>
          <w:bCs/>
          <w:szCs w:val="32"/>
        </w:rPr>
      </w:pPr>
      <w:r>
        <w:rPr>
          <w:rFonts w:ascii="仿宋_GB2312" w:hAnsi="宋体"/>
          <w:bCs/>
          <w:szCs w:val="32"/>
        </w:rPr>
        <w:t>育肥后期推荐的粗蛋白水平（</w:t>
      </w:r>
      <w:r>
        <w:rPr>
          <w:rFonts w:ascii="仿宋_GB2312" w:hAnsi="宋体"/>
          <w:bCs/>
          <w:szCs w:val="32"/>
        </w:rPr>
        <w:t>10%</w:t>
      </w:r>
      <w:r>
        <w:rPr>
          <w:rFonts w:ascii="仿宋_GB2312" w:hAnsi="宋体"/>
          <w:bCs/>
          <w:szCs w:val="32"/>
        </w:rPr>
        <w:t>～</w:t>
      </w:r>
      <w:r>
        <w:rPr>
          <w:rFonts w:ascii="仿宋_GB2312" w:hAnsi="宋体"/>
          <w:bCs/>
          <w:szCs w:val="32"/>
        </w:rPr>
        <w:t>12%</w:t>
      </w:r>
      <w:r>
        <w:rPr>
          <w:rFonts w:ascii="仿宋_GB2312" w:hAnsi="宋体"/>
          <w:bCs/>
          <w:szCs w:val="32"/>
        </w:rPr>
        <w:t>）</w:t>
      </w:r>
      <w:r>
        <w:rPr>
          <w:rFonts w:ascii="仿宋_GB2312" w:hAnsi="宋体" w:hint="eastAsia"/>
          <w:bCs/>
          <w:szCs w:val="32"/>
        </w:rPr>
        <w:t>则是依据起草单位团队前期发表的文章</w:t>
      </w:r>
      <w:r>
        <w:rPr>
          <w:rFonts w:ascii="仿宋_GB2312" w:hAnsi="宋体"/>
          <w:bCs/>
          <w:szCs w:val="32"/>
        </w:rPr>
        <w:t>《不同处理象草与精料配合方式对青年奶水牛生长性能、肉用性能及血液生化指标的影响》</w:t>
      </w:r>
      <w:r>
        <w:rPr>
          <w:rFonts w:ascii="仿宋_GB2312" w:hAnsi="宋体" w:hint="eastAsia"/>
          <w:bCs/>
          <w:szCs w:val="32"/>
        </w:rPr>
        <w:t>进行明确，</w:t>
      </w:r>
      <w:r>
        <w:rPr>
          <w:rFonts w:ascii="仿宋_GB2312" w:hAnsi="宋体"/>
          <w:bCs/>
          <w:szCs w:val="32"/>
        </w:rPr>
        <w:t>该研</w:t>
      </w:r>
      <w:r>
        <w:rPr>
          <w:rFonts w:ascii="仿宋_GB2312" w:hAnsi="宋体"/>
          <w:bCs/>
          <w:szCs w:val="32"/>
        </w:rPr>
        <w:lastRenderedPageBreak/>
        <w:t>究发现，采用象草青贮</w:t>
      </w:r>
      <w:r>
        <w:rPr>
          <w:rFonts w:ascii="仿宋_GB2312" w:hAnsi="宋体"/>
          <w:bCs/>
          <w:szCs w:val="32"/>
        </w:rPr>
        <w:t>+</w:t>
      </w:r>
      <w:r>
        <w:rPr>
          <w:rFonts w:ascii="仿宋_GB2312" w:hAnsi="宋体"/>
          <w:bCs/>
          <w:szCs w:val="32"/>
        </w:rPr>
        <w:t>精料模式，干物质采食量和日增重均显著提高，且中性洗涤纤维和酸</w:t>
      </w:r>
      <w:r>
        <w:rPr>
          <w:rFonts w:ascii="仿宋_GB2312" w:hAnsi="宋体"/>
          <w:bCs/>
          <w:szCs w:val="32"/>
        </w:rPr>
        <w:t>性洗涤纤维表观消化率最高，这表明该营养水平能够有效促进架子牛的生长和增重</w:t>
      </w:r>
      <w:r>
        <w:rPr>
          <w:rFonts w:ascii="仿宋_GB2312" w:hAnsi="宋体" w:hint="eastAsia"/>
          <w:bCs/>
          <w:szCs w:val="32"/>
        </w:rPr>
        <w:t>，</w:t>
      </w:r>
      <w:r>
        <w:rPr>
          <w:rFonts w:ascii="仿宋_GB2312" w:hAnsi="宋体"/>
          <w:bCs/>
          <w:szCs w:val="32"/>
        </w:rPr>
        <w:t>试验饲粮的粗蛋白水平（精料</w:t>
      </w:r>
      <w:r>
        <w:rPr>
          <w:rFonts w:ascii="仿宋_GB2312" w:hAnsi="宋体"/>
          <w:bCs/>
          <w:szCs w:val="32"/>
        </w:rPr>
        <w:t>CP</w:t>
      </w:r>
      <w:r>
        <w:rPr>
          <w:rFonts w:ascii="仿宋_GB2312" w:hAnsi="宋体"/>
          <w:bCs/>
          <w:szCs w:val="32"/>
        </w:rPr>
        <w:t>为</w:t>
      </w:r>
      <w:r>
        <w:rPr>
          <w:rFonts w:ascii="仿宋_GB2312" w:hAnsi="宋体"/>
          <w:bCs/>
          <w:szCs w:val="32"/>
        </w:rPr>
        <w:t>17.6%</w:t>
      </w:r>
      <w:r>
        <w:rPr>
          <w:rFonts w:ascii="仿宋_GB2312" w:hAnsi="宋体"/>
          <w:bCs/>
          <w:szCs w:val="32"/>
        </w:rPr>
        <w:t>，配合象草后整体</w:t>
      </w:r>
      <w:r>
        <w:rPr>
          <w:rFonts w:ascii="仿宋_GB2312" w:hAnsi="宋体"/>
          <w:bCs/>
          <w:szCs w:val="32"/>
        </w:rPr>
        <w:t>CP</w:t>
      </w:r>
      <w:r>
        <w:rPr>
          <w:rFonts w:ascii="仿宋_GB2312" w:hAnsi="宋体"/>
          <w:bCs/>
          <w:szCs w:val="32"/>
        </w:rPr>
        <w:t>约</w:t>
      </w:r>
      <w:r>
        <w:rPr>
          <w:rFonts w:ascii="仿宋_GB2312" w:hAnsi="宋体"/>
          <w:bCs/>
          <w:szCs w:val="32"/>
        </w:rPr>
        <w:t>10%</w:t>
      </w:r>
      <w:r>
        <w:rPr>
          <w:rFonts w:ascii="仿宋_GB2312" w:hAnsi="宋体"/>
          <w:bCs/>
          <w:szCs w:val="32"/>
        </w:rPr>
        <w:t>～</w:t>
      </w:r>
      <w:r>
        <w:rPr>
          <w:rFonts w:ascii="仿宋_GB2312" w:hAnsi="宋体"/>
          <w:bCs/>
          <w:szCs w:val="32"/>
        </w:rPr>
        <w:t>12%</w:t>
      </w:r>
      <w:r>
        <w:rPr>
          <w:rFonts w:ascii="仿宋_GB2312" w:hAnsi="宋体"/>
          <w:bCs/>
          <w:szCs w:val="32"/>
        </w:rPr>
        <w:t>）</w:t>
      </w:r>
      <w:r>
        <w:rPr>
          <w:rFonts w:ascii="仿宋_GB2312" w:hAnsi="宋体" w:hint="eastAsia"/>
          <w:bCs/>
          <w:szCs w:val="32"/>
        </w:rPr>
        <w:t>。</w:t>
      </w:r>
    </w:p>
    <w:p w:rsidR="009958E1" w:rsidRDefault="00CF4061">
      <w:pPr>
        <w:ind w:firstLine="640"/>
        <w:rPr>
          <w:rFonts w:ascii="仿宋_GB2312" w:hAnsi="宋体"/>
          <w:bCs/>
          <w:szCs w:val="32"/>
        </w:rPr>
      </w:pPr>
      <w:r>
        <w:rPr>
          <w:rFonts w:ascii="仿宋_GB2312" w:hAnsi="宋体" w:hint="eastAsia"/>
          <w:bCs/>
          <w:szCs w:val="32"/>
          <w:lang w:val="zh-CN"/>
        </w:rPr>
        <w:t>短期育肥则主要</w:t>
      </w:r>
      <w:r>
        <w:rPr>
          <w:rFonts w:ascii="仿宋_GB2312" w:hAnsi="宋体" w:hint="eastAsia"/>
          <w:bCs/>
          <w:szCs w:val="32"/>
        </w:rPr>
        <w:t>根据</w:t>
      </w:r>
      <w:r>
        <w:rPr>
          <w:rFonts w:ascii="仿宋_GB2312" w:hAnsi="宋体" w:hint="eastAsia"/>
          <w:bCs/>
          <w:szCs w:val="32"/>
          <w:lang w:val="zh-CN"/>
        </w:rPr>
        <w:t>短期强化育肥“高能催肥”的</w:t>
      </w:r>
      <w:r>
        <w:rPr>
          <w:rFonts w:ascii="仿宋_GB2312" w:hAnsi="宋体" w:hint="eastAsia"/>
          <w:bCs/>
          <w:szCs w:val="32"/>
        </w:rPr>
        <w:t>思路，结合起草单位团队前期的实践经验</w:t>
      </w:r>
      <w:r>
        <w:rPr>
          <w:rFonts w:ascii="仿宋_GB2312" w:hAnsi="宋体" w:hint="eastAsia"/>
          <w:bCs/>
          <w:szCs w:val="32"/>
          <w:lang w:val="zh-CN"/>
        </w:rPr>
        <w:t>推荐的精料水平为</w:t>
      </w:r>
      <w:r>
        <w:rPr>
          <w:rFonts w:ascii="仿宋_GB2312" w:hAnsi="宋体" w:hint="eastAsia"/>
          <w:bCs/>
          <w:szCs w:val="32"/>
          <w:lang w:val="zh-CN"/>
        </w:rPr>
        <w:t>1.3%</w:t>
      </w:r>
      <w:r>
        <w:rPr>
          <w:rFonts w:ascii="仿宋_GB2312" w:hAnsi="宋体" w:hint="eastAsia"/>
          <w:bCs/>
          <w:szCs w:val="32"/>
          <w:lang w:val="zh-CN"/>
        </w:rPr>
        <w:t>～</w:t>
      </w:r>
      <w:r>
        <w:rPr>
          <w:rFonts w:ascii="仿宋_GB2312" w:hAnsi="宋体" w:hint="eastAsia"/>
          <w:bCs/>
          <w:szCs w:val="32"/>
          <w:lang w:val="zh-CN"/>
        </w:rPr>
        <w:t>1.5%</w:t>
      </w:r>
      <w:r>
        <w:rPr>
          <w:rFonts w:ascii="仿宋_GB2312" w:hAnsi="宋体" w:hint="eastAsia"/>
          <w:bCs/>
          <w:szCs w:val="32"/>
        </w:rPr>
        <w:t>。</w:t>
      </w:r>
    </w:p>
    <w:p w:rsidR="009958E1" w:rsidRDefault="00CF4061">
      <w:pPr>
        <w:ind w:firstLine="640"/>
        <w:rPr>
          <w:rFonts w:ascii="仿宋_GB2312" w:hAnsi="宋体"/>
          <w:bCs/>
          <w:szCs w:val="32"/>
        </w:rPr>
      </w:pPr>
      <w:r>
        <w:rPr>
          <w:rFonts w:ascii="仿宋_GB2312" w:hAnsi="宋体" w:hint="eastAsia"/>
          <w:bCs/>
          <w:szCs w:val="32"/>
        </w:rPr>
        <w:t>3</w:t>
      </w:r>
      <w:r>
        <w:rPr>
          <w:rFonts w:ascii="仿宋_GB2312" w:hAnsi="宋体" w:hint="eastAsia"/>
          <w:bCs/>
          <w:szCs w:val="32"/>
        </w:rPr>
        <w:t>、淘汰母牛</w:t>
      </w:r>
    </w:p>
    <w:p w:rsidR="009958E1" w:rsidRDefault="00CF4061">
      <w:pPr>
        <w:ind w:firstLine="640"/>
        <w:rPr>
          <w:rFonts w:ascii="仿宋_GB2312" w:hAnsi="宋体"/>
          <w:bCs/>
          <w:szCs w:val="32"/>
        </w:rPr>
      </w:pPr>
      <w:r>
        <w:rPr>
          <w:rFonts w:ascii="仿宋_GB2312" w:hAnsi="宋体" w:hint="eastAsia"/>
          <w:bCs/>
          <w:szCs w:val="32"/>
        </w:rPr>
        <w:t>淘汰母牛选择：淘汰母牛育肥的核心是利用其剩余增重潜力。因此，应选择无严重疾病、无肢体缺陷、能够正常采食的牛只。体况过瘦的牛只恢复成本高，经济效益差；患有慢性疾病的牛只则存在食品安全风险，因此规定应选择无繁殖价值、无严重疾病、无肢体缺陷、膘情适中或偏瘦的纯种或杂交淘汰母牛；体况过瘦或患有慢性疾病的母牛不宜育肥；杂交水牛淘汰母牛的育肥潜力优于沼泽型水牛。</w:t>
      </w:r>
    </w:p>
    <w:p w:rsidR="009958E1" w:rsidRDefault="00CF4061">
      <w:pPr>
        <w:ind w:firstLine="640"/>
        <w:rPr>
          <w:rFonts w:ascii="仿宋_GB2312" w:hAnsi="宋体"/>
          <w:bCs/>
          <w:szCs w:val="32"/>
        </w:rPr>
      </w:pPr>
      <w:r>
        <w:rPr>
          <w:rFonts w:ascii="仿宋_GB2312" w:hAnsi="宋体" w:hint="eastAsia"/>
          <w:bCs/>
          <w:szCs w:val="32"/>
        </w:rPr>
        <w:t>适应期：淘汰母牛体况较差，需要相对较长的适应期（</w:t>
      </w:r>
      <w:r>
        <w:rPr>
          <w:rFonts w:ascii="仿宋_GB2312" w:hAnsi="宋体" w:hint="eastAsia"/>
          <w:bCs/>
          <w:szCs w:val="32"/>
        </w:rPr>
        <w:t>10</w:t>
      </w:r>
      <w:r>
        <w:rPr>
          <w:rFonts w:ascii="仿宋_GB2312" w:hAnsi="宋体" w:hint="eastAsia"/>
          <w:bCs/>
          <w:szCs w:val="32"/>
        </w:rPr>
        <w:t>～</w:t>
      </w:r>
      <w:r>
        <w:rPr>
          <w:rFonts w:ascii="仿宋_GB2312" w:hAnsi="宋体" w:hint="eastAsia"/>
          <w:bCs/>
          <w:szCs w:val="32"/>
        </w:rPr>
        <w:t>15</w:t>
      </w:r>
      <w:r>
        <w:rPr>
          <w:rFonts w:ascii="仿宋_GB2312" w:hAnsi="宋体" w:hint="eastAsia"/>
          <w:bCs/>
          <w:szCs w:val="32"/>
        </w:rPr>
        <w:t>天）来恢复体况、缓解应激，淘汰母牛可能携带潜在疾病，进场后的健康检查、驱虫和免疫尤为重要。因此规定淘</w:t>
      </w:r>
      <w:r>
        <w:rPr>
          <w:rFonts w:ascii="仿宋_GB2312" w:hAnsi="宋体" w:hint="eastAsia"/>
          <w:bCs/>
          <w:szCs w:val="32"/>
        </w:rPr>
        <w:t>汰母牛进场后，应给予</w:t>
      </w:r>
      <w:r>
        <w:rPr>
          <w:rFonts w:ascii="仿宋_GB2312" w:hAnsi="宋体" w:hint="eastAsia"/>
          <w:bCs/>
          <w:szCs w:val="32"/>
        </w:rPr>
        <w:t>10d</w:t>
      </w:r>
      <w:r>
        <w:rPr>
          <w:rFonts w:ascii="仿宋_GB2312" w:hAnsi="宋体" w:hint="eastAsia"/>
          <w:bCs/>
          <w:szCs w:val="32"/>
        </w:rPr>
        <w:t>～</w:t>
      </w:r>
      <w:r>
        <w:rPr>
          <w:rFonts w:ascii="仿宋_GB2312" w:hAnsi="宋体" w:hint="eastAsia"/>
          <w:bCs/>
          <w:szCs w:val="32"/>
        </w:rPr>
        <w:t>15d</w:t>
      </w:r>
      <w:r>
        <w:rPr>
          <w:rFonts w:ascii="仿宋_GB2312" w:hAnsi="宋体" w:hint="eastAsia"/>
          <w:bCs/>
          <w:szCs w:val="32"/>
        </w:rPr>
        <w:t>的适应期以恢复体况，并在此期间进行健康检查、驱虫和免疫。</w:t>
      </w:r>
    </w:p>
    <w:p w:rsidR="009958E1" w:rsidRDefault="00CF4061">
      <w:pPr>
        <w:ind w:firstLine="640"/>
        <w:rPr>
          <w:rFonts w:ascii="仿宋_GB2312" w:hAnsi="宋体"/>
          <w:bCs/>
          <w:szCs w:val="32"/>
        </w:rPr>
      </w:pPr>
      <w:r>
        <w:rPr>
          <w:rFonts w:ascii="仿宋_GB2312" w:hAnsi="宋体" w:hint="eastAsia"/>
          <w:bCs/>
          <w:szCs w:val="32"/>
        </w:rPr>
        <w:t>分阶段育肥：淘汰母牛育肥采用“先恢复后催肥”的两阶段模式。前期（恢复期）重点在于恢复体况，营养水平不宜过高，避免因采食量过大导致消化系统负担过重；后期（育肥期）提高</w:t>
      </w:r>
      <w:r>
        <w:rPr>
          <w:rFonts w:ascii="仿宋_GB2312" w:hAnsi="宋体" w:hint="eastAsia"/>
          <w:bCs/>
          <w:szCs w:val="32"/>
        </w:rPr>
        <w:lastRenderedPageBreak/>
        <w:t>干物质采食量，促进肌肉和脂肪沉积。</w:t>
      </w:r>
      <w:r>
        <w:rPr>
          <w:rFonts w:ascii="仿宋_GB2312" w:hAnsi="宋体" w:hint="eastAsia"/>
          <w:bCs/>
          <w:szCs w:val="32"/>
        </w:rPr>
        <w:t>60</w:t>
      </w:r>
      <w:r>
        <w:rPr>
          <w:rFonts w:ascii="仿宋_GB2312" w:hAnsi="宋体" w:hint="eastAsia"/>
          <w:bCs/>
          <w:szCs w:val="32"/>
        </w:rPr>
        <w:t>～</w:t>
      </w:r>
      <w:r>
        <w:rPr>
          <w:rFonts w:ascii="仿宋_GB2312" w:hAnsi="宋体" w:hint="eastAsia"/>
          <w:bCs/>
          <w:szCs w:val="32"/>
        </w:rPr>
        <w:t>90</w:t>
      </w:r>
      <w:r>
        <w:rPr>
          <w:rFonts w:ascii="仿宋_GB2312" w:hAnsi="宋体" w:hint="eastAsia"/>
          <w:bCs/>
          <w:szCs w:val="32"/>
        </w:rPr>
        <w:t>天的育肥周期既能使淘汰母牛达到较好的出栏膘情，又不会因饲喂时间过长而增加饲养成本。因此规定，淘汰母牛育肥期宜为</w:t>
      </w:r>
      <w:r>
        <w:rPr>
          <w:rFonts w:ascii="仿宋_GB2312" w:hAnsi="宋体" w:hint="eastAsia"/>
          <w:bCs/>
          <w:szCs w:val="32"/>
        </w:rPr>
        <w:t>60d</w:t>
      </w:r>
      <w:r>
        <w:rPr>
          <w:rFonts w:ascii="仿宋_GB2312" w:hAnsi="宋体" w:hint="eastAsia"/>
          <w:bCs/>
          <w:szCs w:val="32"/>
        </w:rPr>
        <w:t>～</w:t>
      </w:r>
      <w:r>
        <w:rPr>
          <w:rFonts w:ascii="仿宋_GB2312" w:hAnsi="宋体" w:hint="eastAsia"/>
          <w:bCs/>
          <w:szCs w:val="32"/>
        </w:rPr>
        <w:t>90d</w:t>
      </w:r>
      <w:r>
        <w:rPr>
          <w:rFonts w:ascii="仿宋_GB2312" w:hAnsi="宋体" w:hint="eastAsia"/>
          <w:bCs/>
          <w:szCs w:val="32"/>
        </w:rPr>
        <w:t>，分为前期（恢复期）和后期（育肥期）：前期（恢复期，</w:t>
      </w:r>
      <w:r>
        <w:rPr>
          <w:rFonts w:ascii="仿宋_GB2312" w:hAnsi="宋体" w:hint="eastAsia"/>
          <w:bCs/>
          <w:szCs w:val="32"/>
        </w:rPr>
        <w:t>30d</w:t>
      </w:r>
      <w:r>
        <w:rPr>
          <w:rFonts w:ascii="仿宋_GB2312" w:hAnsi="宋体" w:hint="eastAsia"/>
          <w:bCs/>
          <w:szCs w:val="32"/>
        </w:rPr>
        <w:t>～</w:t>
      </w:r>
      <w:r>
        <w:rPr>
          <w:rFonts w:ascii="仿宋_GB2312" w:hAnsi="宋体" w:hint="eastAsia"/>
          <w:bCs/>
          <w:szCs w:val="32"/>
        </w:rPr>
        <w:t>45d</w:t>
      </w:r>
      <w:r>
        <w:rPr>
          <w:rFonts w:ascii="仿宋_GB2312" w:hAnsi="宋体" w:hint="eastAsia"/>
          <w:bCs/>
          <w:szCs w:val="32"/>
        </w:rPr>
        <w:t>）：饲料干物质水平占体</w:t>
      </w:r>
      <w:r>
        <w:rPr>
          <w:rFonts w:ascii="仿宋_GB2312" w:hAnsi="宋体" w:hint="eastAsia"/>
          <w:bCs/>
          <w:szCs w:val="32"/>
        </w:rPr>
        <w:t>重比</w:t>
      </w:r>
      <w:r>
        <w:rPr>
          <w:rFonts w:ascii="仿宋_GB2312" w:hAnsi="宋体" w:hint="eastAsia"/>
          <w:bCs/>
          <w:szCs w:val="32"/>
        </w:rPr>
        <w:t>0.8%</w:t>
      </w:r>
      <w:r>
        <w:rPr>
          <w:rFonts w:ascii="仿宋_GB2312" w:hAnsi="宋体" w:hint="eastAsia"/>
          <w:bCs/>
          <w:szCs w:val="32"/>
        </w:rPr>
        <w:t>～</w:t>
      </w:r>
      <w:r>
        <w:rPr>
          <w:rFonts w:ascii="仿宋_GB2312" w:hAnsi="宋体" w:hint="eastAsia"/>
          <w:bCs/>
          <w:szCs w:val="32"/>
        </w:rPr>
        <w:t>1.0%</w:t>
      </w:r>
      <w:r>
        <w:rPr>
          <w:rFonts w:ascii="仿宋_GB2312" w:hAnsi="宋体" w:hint="eastAsia"/>
          <w:bCs/>
          <w:szCs w:val="32"/>
        </w:rPr>
        <w:t>，粗蛋白占日粮比例</w:t>
      </w:r>
      <w:r>
        <w:rPr>
          <w:rFonts w:ascii="仿宋_GB2312" w:hAnsi="宋体" w:hint="eastAsia"/>
          <w:bCs/>
          <w:szCs w:val="32"/>
        </w:rPr>
        <w:t>11%</w:t>
      </w:r>
      <w:r>
        <w:rPr>
          <w:rFonts w:ascii="仿宋_GB2312" w:hAnsi="宋体" w:hint="eastAsia"/>
          <w:bCs/>
          <w:szCs w:val="32"/>
        </w:rPr>
        <w:t>～</w:t>
      </w:r>
      <w:r>
        <w:rPr>
          <w:rFonts w:ascii="仿宋_GB2312" w:hAnsi="宋体" w:hint="eastAsia"/>
          <w:bCs/>
          <w:szCs w:val="32"/>
        </w:rPr>
        <w:t>12%</w:t>
      </w:r>
      <w:r>
        <w:rPr>
          <w:rFonts w:ascii="仿宋_GB2312" w:hAnsi="宋体" w:hint="eastAsia"/>
          <w:bCs/>
          <w:szCs w:val="32"/>
        </w:rPr>
        <w:t>，注重恢复体况和增重；后期（育肥期，</w:t>
      </w:r>
      <w:r>
        <w:rPr>
          <w:rFonts w:ascii="仿宋_GB2312" w:hAnsi="宋体" w:hint="eastAsia"/>
          <w:bCs/>
          <w:szCs w:val="32"/>
        </w:rPr>
        <w:t>30d</w:t>
      </w:r>
      <w:r>
        <w:rPr>
          <w:rFonts w:ascii="仿宋_GB2312" w:hAnsi="宋体" w:hint="eastAsia"/>
          <w:bCs/>
          <w:szCs w:val="32"/>
        </w:rPr>
        <w:t>～</w:t>
      </w:r>
      <w:r>
        <w:rPr>
          <w:rFonts w:ascii="仿宋_GB2312" w:hAnsi="宋体" w:hint="eastAsia"/>
          <w:bCs/>
          <w:szCs w:val="32"/>
        </w:rPr>
        <w:t>45d</w:t>
      </w:r>
      <w:r>
        <w:rPr>
          <w:rFonts w:ascii="仿宋_GB2312" w:hAnsi="宋体" w:hint="eastAsia"/>
          <w:bCs/>
          <w:szCs w:val="32"/>
        </w:rPr>
        <w:t>）：饲料干物质水平占体重比</w:t>
      </w:r>
      <w:r>
        <w:rPr>
          <w:rFonts w:ascii="仿宋_GB2312" w:hAnsi="宋体" w:hint="eastAsia"/>
          <w:bCs/>
          <w:szCs w:val="32"/>
        </w:rPr>
        <w:t>1.5%</w:t>
      </w:r>
      <w:r>
        <w:rPr>
          <w:rFonts w:ascii="仿宋_GB2312" w:hAnsi="宋体" w:hint="eastAsia"/>
          <w:bCs/>
          <w:szCs w:val="32"/>
        </w:rPr>
        <w:t>～</w:t>
      </w:r>
      <w:r>
        <w:rPr>
          <w:rFonts w:ascii="仿宋_GB2312" w:hAnsi="宋体" w:hint="eastAsia"/>
          <w:bCs/>
          <w:szCs w:val="32"/>
        </w:rPr>
        <w:t>2%</w:t>
      </w:r>
      <w:r>
        <w:rPr>
          <w:rFonts w:ascii="仿宋_GB2312" w:hAnsi="宋体" w:hint="eastAsia"/>
          <w:bCs/>
          <w:szCs w:val="32"/>
        </w:rPr>
        <w:t>，粗蛋白占日粮比例</w:t>
      </w:r>
      <w:r>
        <w:rPr>
          <w:rFonts w:ascii="仿宋_GB2312" w:hAnsi="宋体" w:hint="eastAsia"/>
          <w:bCs/>
          <w:szCs w:val="32"/>
        </w:rPr>
        <w:t>10%</w:t>
      </w:r>
      <w:r>
        <w:rPr>
          <w:rFonts w:ascii="仿宋_GB2312" w:hAnsi="宋体" w:hint="eastAsia"/>
          <w:bCs/>
          <w:szCs w:val="32"/>
        </w:rPr>
        <w:t>～</w:t>
      </w:r>
      <w:r>
        <w:rPr>
          <w:rFonts w:ascii="仿宋_GB2312" w:hAnsi="宋体" w:hint="eastAsia"/>
          <w:bCs/>
          <w:szCs w:val="32"/>
        </w:rPr>
        <w:t>12%</w:t>
      </w:r>
      <w:r>
        <w:rPr>
          <w:rFonts w:ascii="仿宋_GB2312" w:hAnsi="宋体" w:hint="eastAsia"/>
          <w:bCs/>
          <w:szCs w:val="32"/>
        </w:rPr>
        <w:t>。</w:t>
      </w:r>
    </w:p>
    <w:p w:rsidR="009958E1" w:rsidRDefault="00CF4061">
      <w:pPr>
        <w:ind w:firstLine="640"/>
        <w:rPr>
          <w:rFonts w:ascii="仿宋_GB2312" w:hAnsi="宋体"/>
          <w:bCs/>
          <w:szCs w:val="32"/>
        </w:rPr>
      </w:pPr>
      <w:r>
        <w:rPr>
          <w:rFonts w:ascii="仿宋_GB2312" w:hAnsi="宋体" w:hint="eastAsia"/>
          <w:bCs/>
          <w:szCs w:val="32"/>
        </w:rPr>
        <w:t>4</w:t>
      </w:r>
      <w:r>
        <w:rPr>
          <w:rFonts w:ascii="仿宋_GB2312" w:hAnsi="宋体" w:hint="eastAsia"/>
          <w:bCs/>
          <w:szCs w:val="32"/>
        </w:rPr>
        <w:t>、饲喂</w:t>
      </w:r>
    </w:p>
    <w:p w:rsidR="009958E1" w:rsidRDefault="00CF4061">
      <w:pPr>
        <w:ind w:firstLine="640"/>
        <w:rPr>
          <w:rFonts w:ascii="仿宋_GB2312" w:hAnsi="宋体"/>
          <w:bCs/>
          <w:szCs w:val="32"/>
        </w:rPr>
      </w:pPr>
      <w:r>
        <w:rPr>
          <w:rFonts w:ascii="仿宋_GB2312" w:hAnsi="宋体" w:hint="eastAsia"/>
          <w:bCs/>
          <w:szCs w:val="32"/>
        </w:rPr>
        <w:t>规定了宜采用全混合日粮（</w:t>
      </w:r>
      <w:r>
        <w:rPr>
          <w:rFonts w:ascii="仿宋_GB2312" w:hAnsi="宋体" w:hint="eastAsia"/>
          <w:bCs/>
          <w:szCs w:val="32"/>
        </w:rPr>
        <w:t>TMR</w:t>
      </w:r>
      <w:r>
        <w:rPr>
          <w:rFonts w:ascii="仿宋_GB2312" w:hAnsi="宋体" w:hint="eastAsia"/>
          <w:bCs/>
          <w:szCs w:val="32"/>
        </w:rPr>
        <w:t>）饲喂，每日投料</w:t>
      </w:r>
      <w:r>
        <w:rPr>
          <w:rFonts w:ascii="仿宋_GB2312" w:hAnsi="宋体" w:hint="eastAsia"/>
          <w:bCs/>
          <w:szCs w:val="32"/>
        </w:rPr>
        <w:t>2</w:t>
      </w:r>
      <w:r>
        <w:rPr>
          <w:rFonts w:ascii="仿宋_GB2312" w:hAnsi="宋体" w:hint="eastAsia"/>
          <w:bCs/>
          <w:szCs w:val="32"/>
        </w:rPr>
        <w:t>次，自由饮水。全混合日粮（</w:t>
      </w:r>
      <w:r>
        <w:rPr>
          <w:rFonts w:ascii="仿宋_GB2312" w:hAnsi="宋体" w:hint="eastAsia"/>
          <w:bCs/>
          <w:szCs w:val="32"/>
        </w:rPr>
        <w:t>TMR</w:t>
      </w:r>
      <w:r>
        <w:rPr>
          <w:rFonts w:ascii="仿宋_GB2312" w:hAnsi="宋体" w:hint="eastAsia"/>
          <w:bCs/>
          <w:szCs w:val="32"/>
        </w:rPr>
        <w:t>）是将精料、粗料、添加剂等按比例混合均匀后饲喂。这种饲喂方式能够保证牛只摄入营养均衡，减少挑食现象，稳定瘤胃内环境，提高饲料利用率。而每日投料</w:t>
      </w:r>
      <w:r>
        <w:rPr>
          <w:rFonts w:ascii="仿宋_GB2312" w:hAnsi="宋体" w:hint="eastAsia"/>
          <w:bCs/>
          <w:szCs w:val="32"/>
        </w:rPr>
        <w:t>2</w:t>
      </w:r>
      <w:r>
        <w:rPr>
          <w:rFonts w:ascii="仿宋_GB2312" w:hAnsi="宋体" w:hint="eastAsia"/>
          <w:bCs/>
          <w:szCs w:val="32"/>
        </w:rPr>
        <w:t>次，符合反刍动物少食多餐的生理特点，有助于保持瘤胃内环境的稳定。</w:t>
      </w:r>
    </w:p>
    <w:p w:rsidR="009958E1" w:rsidRDefault="00CF4061">
      <w:pPr>
        <w:ind w:firstLine="640"/>
        <w:rPr>
          <w:rFonts w:ascii="仿宋_GB2312" w:hAnsi="宋体"/>
          <w:bCs/>
          <w:szCs w:val="32"/>
        </w:rPr>
      </w:pPr>
      <w:r>
        <w:rPr>
          <w:rFonts w:ascii="仿宋_GB2312" w:hAnsi="宋体" w:hint="eastAsia"/>
          <w:bCs/>
          <w:szCs w:val="32"/>
        </w:rPr>
        <w:t>5</w:t>
      </w:r>
      <w:r>
        <w:rPr>
          <w:rFonts w:ascii="仿宋_GB2312" w:hAnsi="宋体" w:hint="eastAsia"/>
          <w:bCs/>
          <w:szCs w:val="32"/>
        </w:rPr>
        <w:t>、卫生</w:t>
      </w:r>
    </w:p>
    <w:p w:rsidR="009958E1" w:rsidRDefault="00CF4061">
      <w:pPr>
        <w:ind w:firstLine="640"/>
        <w:rPr>
          <w:rFonts w:ascii="仿宋_GB2312" w:hAnsi="宋体"/>
          <w:bCs/>
          <w:szCs w:val="32"/>
        </w:rPr>
      </w:pPr>
      <w:r>
        <w:rPr>
          <w:rFonts w:ascii="仿宋_GB2312" w:hAnsi="宋体" w:hint="eastAsia"/>
          <w:bCs/>
          <w:szCs w:val="32"/>
        </w:rPr>
        <w:t>清洁的料槽和水槽能够减</w:t>
      </w:r>
      <w:r>
        <w:rPr>
          <w:rFonts w:ascii="仿宋_GB2312" w:hAnsi="宋体" w:hint="eastAsia"/>
          <w:bCs/>
          <w:szCs w:val="32"/>
        </w:rPr>
        <w:t>少细菌滋生，防止饲料霉变，保障牛只健康。定期清洁也是预防消化道疾病的重要措施。因此规定应定期清洁料槽、水槽，保持干净。</w:t>
      </w:r>
    </w:p>
    <w:p w:rsidR="009958E1" w:rsidRDefault="00CF4061" w:rsidP="00F75B80">
      <w:pPr>
        <w:numPr>
          <w:ilvl w:val="0"/>
          <w:numId w:val="17"/>
        </w:numPr>
        <w:autoSpaceDE w:val="0"/>
        <w:autoSpaceDN w:val="0"/>
        <w:adjustRightInd w:val="0"/>
        <w:spacing w:line="560" w:lineRule="exact"/>
        <w:ind w:firstLineChars="198" w:firstLine="634"/>
        <w:jc w:val="left"/>
        <w:rPr>
          <w:rFonts w:ascii="黑体" w:eastAsia="黑体" w:hAnsi="黑体" w:cs="仿宋_GB2312"/>
          <w:szCs w:val="32"/>
        </w:rPr>
      </w:pPr>
      <w:r>
        <w:rPr>
          <w:rFonts w:ascii="黑体" w:eastAsia="黑体" w:hAnsi="黑体" w:cs="仿宋_GB2312" w:hint="eastAsia"/>
          <w:szCs w:val="32"/>
        </w:rPr>
        <w:t>出栏</w:t>
      </w:r>
    </w:p>
    <w:p w:rsidR="009958E1" w:rsidRDefault="00CF4061">
      <w:pPr>
        <w:ind w:firstLine="640"/>
        <w:rPr>
          <w:rFonts w:ascii="仿宋_GB2312" w:hAnsi="宋体"/>
          <w:bCs/>
          <w:szCs w:val="32"/>
        </w:rPr>
      </w:pPr>
      <w:r>
        <w:rPr>
          <w:rFonts w:ascii="仿宋_GB2312" w:hAnsi="宋体" w:hint="eastAsia"/>
          <w:bCs/>
          <w:szCs w:val="32"/>
        </w:rPr>
        <w:t>主要结合河流型水牛及其后代的的膘情状况、体重增长规律以及不同类别育肥牛的育肥特性，采用了体况评分与出栏体重相结合的方式，为不同类别育肥牛提供了明确的出栏判定依据。体</w:t>
      </w:r>
      <w:r>
        <w:rPr>
          <w:rFonts w:ascii="仿宋_GB2312" w:hAnsi="宋体" w:hint="eastAsia"/>
          <w:bCs/>
          <w:szCs w:val="32"/>
        </w:rPr>
        <w:lastRenderedPageBreak/>
        <w:t>况评分</w:t>
      </w:r>
      <w:r>
        <w:rPr>
          <w:rFonts w:ascii="仿宋_GB2312" w:hAnsi="宋体" w:hint="eastAsia"/>
          <w:bCs/>
          <w:szCs w:val="32"/>
        </w:rPr>
        <w:t>3.5</w:t>
      </w:r>
      <w:r>
        <w:rPr>
          <w:rFonts w:ascii="仿宋_GB2312" w:hAnsi="宋体" w:hint="eastAsia"/>
          <w:bCs/>
          <w:szCs w:val="32"/>
        </w:rPr>
        <w:t>～</w:t>
      </w:r>
      <w:r>
        <w:rPr>
          <w:rFonts w:ascii="仿宋_GB2312" w:hAnsi="宋体" w:hint="eastAsia"/>
          <w:bCs/>
          <w:szCs w:val="32"/>
        </w:rPr>
        <w:t>4.0</w:t>
      </w:r>
      <w:r>
        <w:rPr>
          <w:rFonts w:ascii="仿宋_GB2312" w:hAnsi="宋体" w:hint="eastAsia"/>
          <w:bCs/>
          <w:szCs w:val="32"/>
        </w:rPr>
        <w:t>分反映了理想的膘情状态，代表牛只膘情良好，皮下脂肪覆盖适度，肌肉丰满，这一评分区间既能保证出栏牛肉具有良好的嫩度、多汁性和风味，又不会因过度育肥增加饲养成本；出栏体重标准（断奶牛</w:t>
      </w:r>
      <w:r>
        <w:rPr>
          <w:rFonts w:ascii="仿宋_GB2312" w:hAnsi="宋体" w:hint="eastAsia"/>
          <w:bCs/>
          <w:szCs w:val="32"/>
        </w:rPr>
        <w:t>600</w:t>
      </w:r>
      <w:r>
        <w:rPr>
          <w:rFonts w:ascii="仿宋_GB2312" w:hAnsi="宋体" w:hint="eastAsia"/>
          <w:bCs/>
          <w:szCs w:val="32"/>
        </w:rPr>
        <w:t>～</w:t>
      </w:r>
      <w:r>
        <w:rPr>
          <w:rFonts w:ascii="仿宋_GB2312" w:hAnsi="宋体" w:hint="eastAsia"/>
          <w:bCs/>
          <w:szCs w:val="32"/>
        </w:rPr>
        <w:t>650kg</w:t>
      </w:r>
      <w:r>
        <w:rPr>
          <w:rFonts w:ascii="仿宋_GB2312" w:hAnsi="宋体" w:hint="eastAsia"/>
          <w:bCs/>
          <w:szCs w:val="32"/>
        </w:rPr>
        <w:t>、架子</w:t>
      </w:r>
      <w:r>
        <w:rPr>
          <w:rFonts w:ascii="仿宋_GB2312" w:hAnsi="宋体" w:hint="eastAsia"/>
          <w:bCs/>
          <w:szCs w:val="32"/>
        </w:rPr>
        <w:t>牛</w:t>
      </w:r>
      <w:r>
        <w:rPr>
          <w:rFonts w:ascii="仿宋_GB2312" w:hAnsi="宋体" w:hint="eastAsia"/>
          <w:bCs/>
          <w:szCs w:val="32"/>
        </w:rPr>
        <w:t>600</w:t>
      </w:r>
      <w:r>
        <w:rPr>
          <w:rFonts w:ascii="仿宋_GB2312" w:hAnsi="宋体" w:hint="eastAsia"/>
          <w:bCs/>
          <w:szCs w:val="32"/>
        </w:rPr>
        <w:t>～</w:t>
      </w:r>
      <w:r>
        <w:rPr>
          <w:rFonts w:ascii="仿宋_GB2312" w:hAnsi="宋体" w:hint="eastAsia"/>
          <w:bCs/>
          <w:szCs w:val="32"/>
        </w:rPr>
        <w:t>650kg</w:t>
      </w:r>
      <w:r>
        <w:rPr>
          <w:rFonts w:ascii="仿宋_GB2312" w:hAnsi="宋体" w:hint="eastAsia"/>
          <w:bCs/>
          <w:szCs w:val="32"/>
        </w:rPr>
        <w:t>、淘汰母牛</w:t>
      </w:r>
      <w:r>
        <w:rPr>
          <w:rFonts w:ascii="仿宋_GB2312" w:hAnsi="宋体" w:hint="eastAsia"/>
          <w:bCs/>
          <w:szCs w:val="32"/>
        </w:rPr>
        <w:t>600kg</w:t>
      </w:r>
      <w:r>
        <w:rPr>
          <w:rFonts w:ascii="仿宋_GB2312" w:hAnsi="宋体" w:hint="eastAsia"/>
          <w:bCs/>
          <w:szCs w:val="32"/>
        </w:rPr>
        <w:t>以上）的制定，则的考虑了水牛的生长规律和杂交优势。因此，明确出栏标准参考如下：膘情良好，体况评分</w:t>
      </w:r>
      <w:r>
        <w:rPr>
          <w:rFonts w:ascii="仿宋_GB2312" w:hAnsi="宋体" w:hint="eastAsia"/>
          <w:bCs/>
          <w:szCs w:val="32"/>
        </w:rPr>
        <w:t>3.5</w:t>
      </w:r>
      <w:r>
        <w:rPr>
          <w:rFonts w:ascii="仿宋_GB2312" w:hAnsi="宋体" w:hint="eastAsia"/>
          <w:bCs/>
          <w:szCs w:val="32"/>
        </w:rPr>
        <w:t>～</w:t>
      </w:r>
      <w:r>
        <w:rPr>
          <w:rFonts w:ascii="仿宋_GB2312" w:hAnsi="宋体" w:hint="eastAsia"/>
          <w:bCs/>
          <w:szCs w:val="32"/>
        </w:rPr>
        <w:t>4.0</w:t>
      </w:r>
      <w:r>
        <w:rPr>
          <w:rFonts w:ascii="仿宋_GB2312" w:hAnsi="宋体" w:hint="eastAsia"/>
          <w:bCs/>
          <w:szCs w:val="32"/>
        </w:rPr>
        <w:t>分时可出栏；断奶牛：纯种公牛</w:t>
      </w:r>
      <w:r>
        <w:rPr>
          <w:rFonts w:ascii="仿宋_GB2312" w:hAnsi="宋体" w:hint="eastAsia"/>
          <w:bCs/>
          <w:szCs w:val="32"/>
        </w:rPr>
        <w:t>600kg</w:t>
      </w:r>
      <w:r>
        <w:rPr>
          <w:rFonts w:ascii="仿宋_GB2312" w:hAnsi="宋体" w:hint="eastAsia"/>
          <w:bCs/>
          <w:szCs w:val="32"/>
        </w:rPr>
        <w:t>以上，杂交公牛</w:t>
      </w:r>
      <w:r>
        <w:rPr>
          <w:rFonts w:ascii="仿宋_GB2312" w:hAnsi="宋体" w:hint="eastAsia"/>
          <w:bCs/>
          <w:szCs w:val="32"/>
        </w:rPr>
        <w:t>650kg</w:t>
      </w:r>
      <w:r>
        <w:rPr>
          <w:rFonts w:ascii="仿宋_GB2312" w:hAnsi="宋体" w:hint="eastAsia"/>
          <w:bCs/>
          <w:szCs w:val="32"/>
        </w:rPr>
        <w:t>；架子牛：公牛</w:t>
      </w:r>
      <w:r>
        <w:rPr>
          <w:rFonts w:ascii="仿宋_GB2312" w:hAnsi="宋体" w:hint="eastAsia"/>
          <w:bCs/>
          <w:szCs w:val="32"/>
        </w:rPr>
        <w:t>650kg</w:t>
      </w:r>
      <w:r>
        <w:rPr>
          <w:rFonts w:ascii="仿宋_GB2312" w:hAnsi="宋体" w:hint="eastAsia"/>
          <w:bCs/>
          <w:szCs w:val="32"/>
        </w:rPr>
        <w:t>，母牛</w:t>
      </w:r>
      <w:r>
        <w:rPr>
          <w:rFonts w:ascii="仿宋_GB2312" w:hAnsi="宋体" w:hint="eastAsia"/>
          <w:bCs/>
          <w:szCs w:val="32"/>
        </w:rPr>
        <w:t>600kg</w:t>
      </w:r>
      <w:r>
        <w:rPr>
          <w:rFonts w:ascii="仿宋_GB2312" w:hAnsi="宋体" w:hint="eastAsia"/>
          <w:bCs/>
          <w:szCs w:val="32"/>
        </w:rPr>
        <w:t>；淘汰母牛：</w:t>
      </w:r>
      <w:r>
        <w:rPr>
          <w:rFonts w:ascii="仿宋_GB2312" w:hAnsi="宋体" w:hint="eastAsia"/>
          <w:bCs/>
          <w:szCs w:val="32"/>
        </w:rPr>
        <w:t>600kg</w:t>
      </w:r>
      <w:r>
        <w:rPr>
          <w:rFonts w:ascii="仿宋_GB2312" w:hAnsi="宋体" w:hint="eastAsia"/>
          <w:bCs/>
          <w:szCs w:val="32"/>
        </w:rPr>
        <w:t>以上。</w:t>
      </w:r>
    </w:p>
    <w:p w:rsidR="009958E1" w:rsidRDefault="00CF4061" w:rsidP="00F75B80">
      <w:pPr>
        <w:numPr>
          <w:ilvl w:val="0"/>
          <w:numId w:val="17"/>
        </w:numPr>
        <w:autoSpaceDE w:val="0"/>
        <w:autoSpaceDN w:val="0"/>
        <w:adjustRightInd w:val="0"/>
        <w:spacing w:line="560" w:lineRule="exact"/>
        <w:ind w:firstLineChars="198" w:firstLine="634"/>
        <w:jc w:val="left"/>
        <w:rPr>
          <w:rFonts w:ascii="黑体" w:eastAsia="黑体" w:hAnsi="黑体" w:cs="仿宋_GB2312"/>
          <w:szCs w:val="32"/>
        </w:rPr>
      </w:pPr>
      <w:r>
        <w:rPr>
          <w:rFonts w:ascii="黑体" w:eastAsia="黑体" w:hAnsi="黑体" w:cs="仿宋_GB2312" w:hint="eastAsia"/>
          <w:szCs w:val="32"/>
        </w:rPr>
        <w:t>防疫管理</w:t>
      </w:r>
    </w:p>
    <w:p w:rsidR="009958E1" w:rsidRDefault="00CF4061">
      <w:pPr>
        <w:autoSpaceDE w:val="0"/>
        <w:autoSpaceDN w:val="0"/>
        <w:adjustRightInd w:val="0"/>
        <w:spacing w:line="560" w:lineRule="exact"/>
        <w:ind w:firstLine="640"/>
        <w:jc w:val="left"/>
        <w:rPr>
          <w:rFonts w:ascii="黑体" w:eastAsia="黑体" w:hAnsi="黑体" w:cs="仿宋_GB2312"/>
          <w:szCs w:val="32"/>
        </w:rPr>
      </w:pPr>
      <w:r>
        <w:rPr>
          <w:rFonts w:ascii="仿宋_GB2312" w:hAnsi="宋体" w:hint="eastAsia"/>
          <w:bCs/>
          <w:szCs w:val="32"/>
        </w:rPr>
        <w:t>主要规定了</w:t>
      </w:r>
      <w:r>
        <w:rPr>
          <w:rFonts w:ascii="Segoe UI" w:hAnsi="Segoe UI" w:cs="Segoe UI"/>
          <w:color w:val="0F1115"/>
          <w:shd w:val="clear" w:color="auto" w:fill="FFFFFF"/>
        </w:rPr>
        <w:t>消毒、驱虫、免疫、疫情上报</w:t>
      </w:r>
      <w:r>
        <w:rPr>
          <w:rFonts w:ascii="Segoe UI" w:hAnsi="Segoe UI" w:cs="Segoe UI" w:hint="eastAsia"/>
          <w:color w:val="0F1115"/>
          <w:shd w:val="clear" w:color="auto" w:fill="FFFFFF"/>
        </w:rPr>
        <w:t>的要求。育肥场作为牛只集中饲养区域，人员、车辆、工具的流动是疫病传入的主要风险点，因此对进出养殖场的车辆、人员及用具进行严格消毒；同时保持牛舍清洁干燥，合理通风，并定期开展全面消毒工作。且应</w:t>
      </w:r>
      <w:r>
        <w:rPr>
          <w:rFonts w:ascii="仿宋_GB2312" w:hAnsi="Segoe UI" w:cs="Segoe UI" w:hint="eastAsia"/>
          <w:color w:val="0F1115"/>
          <w:shd w:val="clear" w:color="auto" w:fill="FFFFFF"/>
        </w:rPr>
        <w:t>按</w:t>
      </w:r>
      <w:r>
        <w:rPr>
          <w:rFonts w:ascii="仿宋_GB2312" w:hAnsi="Segoe UI" w:cs="Segoe UI" w:hint="eastAsia"/>
          <w:color w:val="0F1115"/>
          <w:shd w:val="clear" w:color="auto" w:fill="FFFFFF"/>
        </w:rPr>
        <w:t>NY/T 472</w:t>
      </w:r>
      <w:r>
        <w:rPr>
          <w:rFonts w:ascii="Segoe UI" w:hAnsi="Segoe UI" w:cs="Segoe UI" w:hint="eastAsia"/>
          <w:color w:val="0F1115"/>
          <w:shd w:val="clear" w:color="auto" w:fill="FFFFFF"/>
        </w:rPr>
        <w:t>的规定执行，入栏育肥前应选择副作用小、高效的药物进行体内、体外科学驱虫</w:t>
      </w:r>
      <w:r>
        <w:rPr>
          <w:rFonts w:ascii="Segoe UI" w:hAnsi="Segoe UI" w:cs="Segoe UI" w:hint="eastAsia"/>
          <w:color w:val="0F1115"/>
          <w:shd w:val="clear" w:color="auto" w:fill="FFFFFF"/>
        </w:rPr>
        <w:t>1</w:t>
      </w:r>
      <w:r>
        <w:rPr>
          <w:rFonts w:ascii="Segoe UI" w:hAnsi="Segoe UI" w:cs="Segoe UI" w:hint="eastAsia"/>
          <w:color w:val="0F1115"/>
          <w:shd w:val="clear" w:color="auto" w:fill="FFFFFF"/>
        </w:rPr>
        <w:t>次。牛只免疫则</w:t>
      </w:r>
      <w:r>
        <w:rPr>
          <w:rFonts w:ascii="仿宋_GB2312" w:hAnsi="Segoe UI" w:cs="Segoe UI" w:hint="eastAsia"/>
          <w:color w:val="0F1115"/>
          <w:shd w:val="clear" w:color="auto" w:fill="FFFFFF"/>
        </w:rPr>
        <w:t>按</w:t>
      </w:r>
      <w:r>
        <w:rPr>
          <w:rFonts w:ascii="仿宋_GB2312" w:hAnsi="Segoe UI" w:cs="Segoe UI" w:hint="eastAsia"/>
          <w:color w:val="0F1115"/>
          <w:shd w:val="clear" w:color="auto" w:fill="FFFFFF"/>
        </w:rPr>
        <w:t>NY/T 3467</w:t>
      </w:r>
      <w:r>
        <w:rPr>
          <w:rFonts w:ascii="仿宋_GB2312" w:hAnsi="Segoe UI" w:cs="Segoe UI" w:hint="eastAsia"/>
          <w:color w:val="0F1115"/>
          <w:shd w:val="clear" w:color="auto" w:fill="FFFFFF"/>
        </w:rPr>
        <w:t>的</w:t>
      </w:r>
      <w:r>
        <w:rPr>
          <w:rFonts w:ascii="Segoe UI" w:hAnsi="Segoe UI" w:cs="Segoe UI"/>
          <w:color w:val="0F1115"/>
          <w:shd w:val="clear" w:color="auto" w:fill="FFFFFF"/>
        </w:rPr>
        <w:t>规定执行，结合本地疫病与场区实际落实预防接种，定期检疫布病和结核病</w:t>
      </w:r>
      <w:r>
        <w:rPr>
          <w:rFonts w:ascii="Segoe UI" w:hAnsi="Segoe UI" w:cs="Segoe UI" w:hint="eastAsia"/>
          <w:color w:val="0F1115"/>
          <w:shd w:val="clear" w:color="auto" w:fill="FFFFFF"/>
        </w:rPr>
        <w:t>。同时，还应</w:t>
      </w:r>
      <w:r>
        <w:rPr>
          <w:rFonts w:ascii="Segoe UI" w:hAnsi="Segoe UI" w:cs="Segoe UI"/>
          <w:color w:val="0F1115"/>
          <w:shd w:val="clear" w:color="auto" w:fill="FFFFFF"/>
        </w:rPr>
        <w:t>每日观察牛只健康，发现疑似传染病牛应隔离并上报当地兽医主管部门、动物疫病防控机构，疫病发生时按规定处置。</w:t>
      </w:r>
    </w:p>
    <w:p w:rsidR="009958E1" w:rsidRDefault="00CF4061" w:rsidP="00F75B80">
      <w:pPr>
        <w:numPr>
          <w:ilvl w:val="0"/>
          <w:numId w:val="17"/>
        </w:numPr>
        <w:autoSpaceDE w:val="0"/>
        <w:autoSpaceDN w:val="0"/>
        <w:adjustRightInd w:val="0"/>
        <w:spacing w:line="560" w:lineRule="exact"/>
        <w:ind w:firstLineChars="198" w:firstLine="634"/>
        <w:jc w:val="left"/>
        <w:rPr>
          <w:rFonts w:ascii="黑体" w:eastAsia="黑体" w:hAnsi="黑体" w:cs="仿宋_GB2312"/>
          <w:szCs w:val="32"/>
        </w:rPr>
      </w:pPr>
      <w:r>
        <w:rPr>
          <w:rFonts w:ascii="黑体" w:eastAsia="黑体" w:hAnsi="黑体" w:cs="仿宋_GB2312" w:hint="eastAsia"/>
          <w:szCs w:val="32"/>
        </w:rPr>
        <w:t>无害化处理</w:t>
      </w:r>
    </w:p>
    <w:p w:rsidR="009958E1" w:rsidRDefault="00CF4061">
      <w:pPr>
        <w:autoSpaceDE w:val="0"/>
        <w:autoSpaceDN w:val="0"/>
        <w:adjustRightInd w:val="0"/>
        <w:spacing w:line="560" w:lineRule="exact"/>
        <w:ind w:firstLine="640"/>
        <w:jc w:val="left"/>
        <w:rPr>
          <w:rFonts w:ascii="黑体" w:eastAsia="黑体" w:hAnsi="黑体" w:cs="仿宋_GB2312"/>
          <w:szCs w:val="32"/>
        </w:rPr>
      </w:pPr>
      <w:r>
        <w:t>对病死牛，委托具备资质的病死动物无害化处理企业进行专业处理，同时完整留存处理记录，保障处理工作合规可查。粪污处理按</w:t>
      </w:r>
      <w:r>
        <w:t>GB 18596</w:t>
      </w:r>
      <w:r>
        <w:rPr>
          <w:rFonts w:hint="eastAsia"/>
        </w:rPr>
        <w:t>的</w:t>
      </w:r>
      <w:r>
        <w:t>规定执行。</w:t>
      </w:r>
    </w:p>
    <w:p w:rsidR="009958E1" w:rsidRDefault="00CF4061" w:rsidP="00F75B80">
      <w:pPr>
        <w:numPr>
          <w:ilvl w:val="0"/>
          <w:numId w:val="17"/>
        </w:numPr>
        <w:autoSpaceDE w:val="0"/>
        <w:autoSpaceDN w:val="0"/>
        <w:adjustRightInd w:val="0"/>
        <w:spacing w:line="560" w:lineRule="exact"/>
        <w:ind w:firstLineChars="198" w:firstLine="634"/>
        <w:jc w:val="left"/>
        <w:rPr>
          <w:rFonts w:ascii="黑体" w:eastAsia="黑体" w:hAnsi="黑体" w:cs="仿宋_GB2312"/>
          <w:szCs w:val="32"/>
        </w:rPr>
      </w:pPr>
      <w:r>
        <w:rPr>
          <w:rFonts w:ascii="黑体" w:eastAsia="黑体" w:hAnsi="黑体" w:cs="仿宋_GB2312" w:hint="eastAsia"/>
          <w:szCs w:val="32"/>
        </w:rPr>
        <w:lastRenderedPageBreak/>
        <w:t>档案管理</w:t>
      </w:r>
    </w:p>
    <w:p w:rsidR="009958E1" w:rsidRDefault="00CF4061">
      <w:pPr>
        <w:ind w:firstLine="640"/>
        <w:rPr>
          <w:rFonts w:ascii="仿宋_GB2312" w:hAnsi="宋体"/>
          <w:bCs/>
          <w:szCs w:val="32"/>
        </w:rPr>
      </w:pPr>
      <w:r>
        <w:rPr>
          <w:rFonts w:hint="eastAsia"/>
        </w:rPr>
        <w:t>明确了档案管理应按照</w:t>
      </w:r>
      <w:r>
        <w:rPr>
          <w:rFonts w:hint="eastAsia"/>
        </w:rPr>
        <w:t>NY/T 3445</w:t>
      </w:r>
      <w:r>
        <w:rPr>
          <w:rFonts w:hint="eastAsia"/>
        </w:rPr>
        <w:t>的规定执行，</w:t>
      </w:r>
      <w:r>
        <w:t>对卫生防疫、牛只养殖、无害化处理等记录进行归档，档案资料在牛只出栏出售后保存</w:t>
      </w:r>
      <w:r>
        <w:t>2</w:t>
      </w:r>
      <w:r>
        <w:t>年以上。</w:t>
      </w:r>
    </w:p>
    <w:p w:rsidR="009958E1" w:rsidRDefault="00CF4061">
      <w:pPr>
        <w:autoSpaceDE w:val="0"/>
        <w:autoSpaceDN w:val="0"/>
        <w:adjustRightInd w:val="0"/>
        <w:spacing w:line="560" w:lineRule="exact"/>
        <w:ind w:firstLine="640"/>
        <w:jc w:val="left"/>
        <w:rPr>
          <w:rFonts w:ascii="黑体" w:eastAsia="黑体" w:hAnsi="黑体" w:cs="仿宋_GB2312"/>
          <w:szCs w:val="32"/>
        </w:rPr>
      </w:pPr>
      <w:r>
        <w:rPr>
          <w:rFonts w:ascii="黑体" w:eastAsia="黑体" w:hAnsi="黑体" w:cs="仿宋_GB2312" w:hint="eastAsia"/>
          <w:szCs w:val="32"/>
        </w:rPr>
        <w:t>六、</w:t>
      </w:r>
      <w:bookmarkEnd w:id="3"/>
      <w:r>
        <w:rPr>
          <w:rFonts w:ascii="黑体" w:eastAsia="黑体" w:hAnsi="黑体" w:cs="仿宋_GB2312" w:hint="eastAsia"/>
          <w:szCs w:val="32"/>
        </w:rPr>
        <w:t>重大分歧意见的处理经过和依据</w:t>
      </w:r>
    </w:p>
    <w:p w:rsidR="009958E1" w:rsidRDefault="00CF4061">
      <w:pPr>
        <w:spacing w:line="560" w:lineRule="exact"/>
        <w:ind w:firstLine="640"/>
        <w:rPr>
          <w:rFonts w:ascii="仿宋_GB2312" w:hAnsi="宋体"/>
          <w:szCs w:val="28"/>
        </w:rPr>
      </w:pPr>
      <w:r>
        <w:rPr>
          <w:rFonts w:ascii="仿宋_GB2312" w:hAnsi="宋体" w:hint="eastAsia"/>
          <w:szCs w:val="28"/>
        </w:rPr>
        <w:t>本标准研制过程中无重大分歧意见。</w:t>
      </w:r>
    </w:p>
    <w:p w:rsidR="009958E1" w:rsidRDefault="00CF4061">
      <w:pPr>
        <w:autoSpaceDE w:val="0"/>
        <w:autoSpaceDN w:val="0"/>
        <w:adjustRightInd w:val="0"/>
        <w:spacing w:line="560" w:lineRule="exact"/>
        <w:ind w:firstLine="640"/>
        <w:jc w:val="left"/>
        <w:rPr>
          <w:rFonts w:ascii="黑体" w:eastAsia="黑体" w:hAnsi="黑体" w:cs="仿宋_GB2312"/>
          <w:szCs w:val="32"/>
        </w:rPr>
      </w:pPr>
      <w:r>
        <w:rPr>
          <w:rFonts w:ascii="黑体" w:eastAsia="黑体" w:hAnsi="黑体" w:cs="仿宋_GB2312" w:hint="eastAsia"/>
          <w:szCs w:val="32"/>
        </w:rPr>
        <w:t>七</w:t>
      </w:r>
      <w:r>
        <w:rPr>
          <w:rFonts w:ascii="黑体" w:eastAsia="黑体" w:hAnsi="黑体" w:cs="仿宋_GB2312"/>
          <w:szCs w:val="32"/>
        </w:rPr>
        <w:t>、</w:t>
      </w:r>
      <w:r>
        <w:rPr>
          <w:rFonts w:ascii="黑体" w:eastAsia="黑体" w:hAnsi="黑体" w:cs="仿宋_GB2312" w:hint="eastAsia"/>
          <w:szCs w:val="32"/>
        </w:rPr>
        <w:t>实施标准的措施</w:t>
      </w:r>
    </w:p>
    <w:p w:rsidR="009958E1" w:rsidRDefault="00CF4061">
      <w:pPr>
        <w:spacing w:line="560" w:lineRule="exact"/>
        <w:ind w:firstLine="643"/>
        <w:rPr>
          <w:rFonts w:ascii="仿宋_GB2312" w:hAnsi="宋体"/>
          <w:b/>
          <w:szCs w:val="28"/>
        </w:rPr>
      </w:pPr>
      <w:r>
        <w:rPr>
          <w:rFonts w:ascii="仿宋_GB2312" w:hAnsi="宋体" w:hint="eastAsia"/>
          <w:b/>
          <w:szCs w:val="28"/>
        </w:rPr>
        <w:t>（一）标准报批发布后，成立标准宣贯工作组</w:t>
      </w:r>
    </w:p>
    <w:p w:rsidR="009958E1" w:rsidRDefault="00CF4061">
      <w:pPr>
        <w:spacing w:line="560" w:lineRule="exact"/>
        <w:ind w:firstLine="640"/>
        <w:rPr>
          <w:rFonts w:ascii="仿宋_GB2312" w:hAnsi="宋体"/>
          <w:szCs w:val="28"/>
        </w:rPr>
      </w:pPr>
      <w:r>
        <w:rPr>
          <w:rFonts w:ascii="仿宋_GB2312" w:hAnsi="宋体" w:hint="eastAsia"/>
          <w:szCs w:val="28"/>
        </w:rPr>
        <w:t>本标准发布后，成立以主要起草人为成员的标准宣贯工作组，主要负责标准的宣贯实施培训计划制定、标准实施交流会策划、标准实施信息反馈收集和标准实施效果评估等工作，并根据标准实施信息反馈和标准实施效果评估情况，及时组织标准复审修订。</w:t>
      </w:r>
    </w:p>
    <w:p w:rsidR="009958E1" w:rsidRDefault="00CF4061">
      <w:pPr>
        <w:spacing w:line="560" w:lineRule="exact"/>
        <w:ind w:firstLine="643"/>
        <w:rPr>
          <w:rFonts w:ascii="仿宋_GB2312" w:hAnsi="宋体"/>
          <w:b/>
          <w:szCs w:val="28"/>
        </w:rPr>
      </w:pPr>
      <w:r>
        <w:rPr>
          <w:rFonts w:ascii="仿宋_GB2312" w:hAnsi="宋体" w:hint="eastAsia"/>
          <w:b/>
          <w:szCs w:val="28"/>
        </w:rPr>
        <w:t>（二）组织开展标准宣贯培训</w:t>
      </w:r>
    </w:p>
    <w:p w:rsidR="009958E1" w:rsidRDefault="00CF4061">
      <w:pPr>
        <w:spacing w:line="560" w:lineRule="exact"/>
        <w:ind w:firstLine="640"/>
        <w:rPr>
          <w:rFonts w:ascii="仿宋_GB2312" w:hAnsi="宋体"/>
          <w:szCs w:val="28"/>
        </w:rPr>
      </w:pPr>
      <w:r>
        <w:rPr>
          <w:rFonts w:ascii="仿宋_GB2312" w:hAnsi="宋体" w:hint="eastAsia"/>
          <w:szCs w:val="28"/>
        </w:rPr>
        <w:t>标准发布实施后，标准宣贯工作小组制作标准解读宣贯培训</w:t>
      </w:r>
      <w:r>
        <w:rPr>
          <w:rFonts w:ascii="仿宋_GB2312" w:hAnsi="宋体" w:hint="eastAsia"/>
          <w:szCs w:val="28"/>
        </w:rPr>
        <w:t>PPT</w:t>
      </w:r>
      <w:r>
        <w:rPr>
          <w:rFonts w:ascii="仿宋_GB2312" w:hAnsi="宋体" w:hint="eastAsia"/>
          <w:szCs w:val="28"/>
        </w:rPr>
        <w:t>课件和标准核心技术明白书，并按标准宣贯培训计划深入各市县相关机构、单位开展标准宣贯培训，对标准进行逐条解读，让技术人员掌握标准核心内容，助力标准实施落地。</w:t>
      </w:r>
    </w:p>
    <w:p w:rsidR="009958E1" w:rsidRDefault="00CF4061">
      <w:pPr>
        <w:spacing w:line="560" w:lineRule="exact"/>
        <w:ind w:firstLine="643"/>
        <w:rPr>
          <w:rFonts w:ascii="仿宋_GB2312" w:hAnsi="宋体"/>
          <w:b/>
          <w:szCs w:val="28"/>
        </w:rPr>
      </w:pPr>
      <w:r>
        <w:rPr>
          <w:rFonts w:ascii="仿宋_GB2312" w:hAnsi="宋体" w:hint="eastAsia"/>
          <w:b/>
          <w:szCs w:val="28"/>
        </w:rPr>
        <w:t>（三）开展标准实施交流会，收集标准实施反馈信</w:t>
      </w:r>
      <w:r>
        <w:rPr>
          <w:rFonts w:ascii="仿宋_GB2312" w:hAnsi="宋体" w:hint="eastAsia"/>
          <w:b/>
          <w:szCs w:val="28"/>
        </w:rPr>
        <w:t>息</w:t>
      </w:r>
    </w:p>
    <w:p w:rsidR="009958E1" w:rsidRDefault="00CF4061">
      <w:pPr>
        <w:spacing w:line="560" w:lineRule="exact"/>
        <w:ind w:firstLine="640"/>
        <w:rPr>
          <w:rFonts w:ascii="仿宋_GB2312" w:hAnsi="宋体"/>
          <w:szCs w:val="28"/>
        </w:rPr>
      </w:pPr>
      <w:r>
        <w:rPr>
          <w:rFonts w:ascii="仿宋_GB2312" w:hAnsi="宋体" w:hint="eastAsia"/>
          <w:szCs w:val="28"/>
        </w:rPr>
        <w:t>标准起草小组深入各市县相关机构、单位组织技术人员召开标准实施交流会，听取标准实施过程中存在的问题并做好记录和解答，对存在的问题组织专家团队进行研讨，为标准的复审修订做准备。</w:t>
      </w:r>
    </w:p>
    <w:p w:rsidR="009958E1" w:rsidRDefault="00CF4061">
      <w:pPr>
        <w:spacing w:line="560" w:lineRule="exact"/>
        <w:ind w:firstLine="643"/>
        <w:rPr>
          <w:rFonts w:ascii="仿宋_GB2312" w:hAnsi="宋体"/>
          <w:b/>
          <w:szCs w:val="28"/>
        </w:rPr>
      </w:pPr>
      <w:r>
        <w:rPr>
          <w:rFonts w:ascii="仿宋_GB2312" w:hAnsi="宋体" w:hint="eastAsia"/>
          <w:b/>
          <w:szCs w:val="28"/>
        </w:rPr>
        <w:t>（四）开展标准实施效果评估</w:t>
      </w:r>
    </w:p>
    <w:p w:rsidR="009958E1" w:rsidRDefault="00CF4061">
      <w:pPr>
        <w:spacing w:line="560" w:lineRule="exact"/>
        <w:ind w:firstLine="640"/>
        <w:rPr>
          <w:rFonts w:ascii="仿宋_GB2312" w:hAnsi="宋体"/>
          <w:szCs w:val="28"/>
        </w:rPr>
      </w:pPr>
      <w:r>
        <w:rPr>
          <w:rFonts w:ascii="仿宋_GB2312" w:hAnsi="宋体" w:hint="eastAsia"/>
          <w:szCs w:val="28"/>
        </w:rPr>
        <w:t>标准实施满</w:t>
      </w:r>
      <w:r>
        <w:rPr>
          <w:rFonts w:ascii="仿宋_GB2312" w:hAnsi="宋体" w:hint="eastAsia"/>
          <w:szCs w:val="28"/>
        </w:rPr>
        <w:t>2</w:t>
      </w:r>
      <w:r>
        <w:rPr>
          <w:rFonts w:ascii="仿宋_GB2312" w:hAnsi="宋体" w:hint="eastAsia"/>
          <w:szCs w:val="28"/>
        </w:rPr>
        <w:t>年，每年标准宣贯工作组采取网络调查、问卷</w:t>
      </w:r>
      <w:r>
        <w:rPr>
          <w:rFonts w:ascii="仿宋_GB2312" w:hAnsi="宋体" w:hint="eastAsia"/>
          <w:szCs w:val="28"/>
        </w:rPr>
        <w:lastRenderedPageBreak/>
        <w:t>调查、实地调研、召开座谈会或论证会、专家咨询等方式开展标准实施效果评估，并形成标准实施效果评估报告，为标准的复审修订做准备。</w:t>
      </w:r>
    </w:p>
    <w:p w:rsidR="009958E1" w:rsidRDefault="00CF4061">
      <w:pPr>
        <w:autoSpaceDE w:val="0"/>
        <w:autoSpaceDN w:val="0"/>
        <w:adjustRightInd w:val="0"/>
        <w:spacing w:line="560" w:lineRule="exact"/>
        <w:ind w:firstLine="640"/>
        <w:jc w:val="left"/>
        <w:rPr>
          <w:rFonts w:ascii="黑体" w:eastAsia="黑体" w:hAnsi="黑体" w:cs="仿宋_GB2312"/>
          <w:szCs w:val="32"/>
        </w:rPr>
      </w:pPr>
      <w:r>
        <w:rPr>
          <w:rFonts w:ascii="黑体" w:eastAsia="黑体" w:hAnsi="黑体" w:cs="仿宋_GB2312" w:hint="eastAsia"/>
          <w:szCs w:val="32"/>
        </w:rPr>
        <w:t>八、其他应当说明的事项</w:t>
      </w:r>
    </w:p>
    <w:p w:rsidR="009958E1" w:rsidRDefault="00CF4061">
      <w:pPr>
        <w:spacing w:line="560" w:lineRule="exact"/>
        <w:ind w:firstLine="640"/>
        <w:rPr>
          <w:rFonts w:ascii="仿宋_GB2312" w:hAnsi="宋体"/>
          <w:szCs w:val="28"/>
        </w:rPr>
      </w:pPr>
      <w:r>
        <w:rPr>
          <w:rFonts w:ascii="仿宋_GB2312" w:hAnsi="宋体" w:hint="eastAsia"/>
          <w:szCs w:val="28"/>
        </w:rPr>
        <w:t>无。</w:t>
      </w:r>
    </w:p>
    <w:p w:rsidR="009958E1" w:rsidRDefault="009958E1">
      <w:pPr>
        <w:spacing w:line="560" w:lineRule="exact"/>
        <w:ind w:firstLineChars="0" w:firstLine="0"/>
        <w:rPr>
          <w:rFonts w:ascii="仿宋_GB2312" w:hAnsi="仿宋"/>
          <w:bCs/>
          <w:sz w:val="36"/>
          <w:szCs w:val="32"/>
        </w:rPr>
      </w:pPr>
    </w:p>
    <w:p w:rsidR="009958E1" w:rsidRDefault="00CF4061">
      <w:pPr>
        <w:spacing w:line="560" w:lineRule="exact"/>
        <w:ind w:firstLine="640"/>
        <w:jc w:val="right"/>
        <w:rPr>
          <w:rFonts w:ascii="仿宋_GB2312" w:hAnsi="宋体"/>
          <w:szCs w:val="28"/>
        </w:rPr>
      </w:pPr>
      <w:r>
        <w:rPr>
          <w:rFonts w:ascii="仿宋_GB2312" w:hAnsi="宋体" w:hint="eastAsia"/>
          <w:szCs w:val="28"/>
        </w:rPr>
        <w:t xml:space="preserve"> </w:t>
      </w:r>
      <w:r>
        <w:rPr>
          <w:rFonts w:ascii="仿宋_GB2312" w:hAnsi="宋体" w:hint="eastAsia"/>
          <w:szCs w:val="28"/>
        </w:rPr>
        <w:t>团体标准《河流型水牛及其杂交后代育肥技术规程》</w:t>
      </w:r>
    </w:p>
    <w:p w:rsidR="009958E1" w:rsidRDefault="00CF4061">
      <w:pPr>
        <w:spacing w:line="560" w:lineRule="exact"/>
        <w:ind w:firstLine="640"/>
        <w:jc w:val="right"/>
        <w:rPr>
          <w:rFonts w:ascii="仿宋_GB2312" w:hAnsi="宋体"/>
          <w:szCs w:val="28"/>
        </w:rPr>
      </w:pPr>
      <w:r>
        <w:rPr>
          <w:rFonts w:ascii="仿宋_GB2312" w:hAnsi="宋体" w:hint="eastAsia"/>
          <w:szCs w:val="28"/>
        </w:rPr>
        <w:t>标准编制工作组</w:t>
      </w:r>
    </w:p>
    <w:p w:rsidR="009958E1" w:rsidRDefault="00CF4061">
      <w:pPr>
        <w:spacing w:line="560" w:lineRule="exact"/>
        <w:ind w:firstLine="640"/>
        <w:jc w:val="right"/>
        <w:rPr>
          <w:rFonts w:ascii="仿宋_GB2312" w:hAnsi="宋体"/>
          <w:szCs w:val="28"/>
        </w:rPr>
      </w:pPr>
      <w:r>
        <w:rPr>
          <w:rFonts w:ascii="仿宋_GB2312" w:hAnsi="宋体" w:hint="eastAsia"/>
          <w:szCs w:val="28"/>
        </w:rPr>
        <w:t>2026</w:t>
      </w:r>
      <w:r>
        <w:rPr>
          <w:rFonts w:ascii="仿宋_GB2312" w:hAnsi="宋体" w:hint="eastAsia"/>
          <w:szCs w:val="28"/>
        </w:rPr>
        <w:t>年</w:t>
      </w:r>
      <w:r>
        <w:rPr>
          <w:rFonts w:ascii="仿宋_GB2312" w:hAnsi="宋体" w:hint="eastAsia"/>
          <w:szCs w:val="28"/>
        </w:rPr>
        <w:t>3</w:t>
      </w:r>
      <w:r>
        <w:rPr>
          <w:rFonts w:ascii="仿宋_GB2312" w:hAnsi="宋体" w:hint="eastAsia"/>
          <w:szCs w:val="28"/>
        </w:rPr>
        <w:t>月</w:t>
      </w:r>
      <w:r>
        <w:rPr>
          <w:rFonts w:ascii="仿宋_GB2312" w:hAnsi="宋体" w:hint="eastAsia"/>
          <w:szCs w:val="28"/>
        </w:rPr>
        <w:t>26</w:t>
      </w:r>
      <w:r>
        <w:rPr>
          <w:rFonts w:ascii="仿宋_GB2312" w:hAnsi="宋体" w:hint="eastAsia"/>
          <w:szCs w:val="28"/>
        </w:rPr>
        <w:t>日</w:t>
      </w:r>
    </w:p>
    <w:sectPr w:rsidR="009958E1">
      <w:headerReference w:type="even" r:id="rId14"/>
      <w:headerReference w:type="default" r:id="rId15"/>
      <w:footerReference w:type="even" r:id="rId16"/>
      <w:footerReference w:type="default" r:id="rId17"/>
      <w:headerReference w:type="first" r:id="rId18"/>
      <w:footerReference w:type="first" r:id="rId19"/>
      <w:pgSz w:w="11906" w:h="16838"/>
      <w:pgMar w:top="1474" w:right="1474" w:bottom="1474" w:left="1474"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F4061" w:rsidRDefault="00CF4061">
      <w:pPr>
        <w:ind w:firstLine="640"/>
      </w:pPr>
      <w:r>
        <w:separator/>
      </w:r>
    </w:p>
  </w:endnote>
  <w:endnote w:type="continuationSeparator" w:id="0">
    <w:p w:rsidR="00CF4061" w:rsidRDefault="00CF4061">
      <w:pPr>
        <w:ind w:firstLine="64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黑体">
    <w:altName w:val="SimHei"/>
    <w:panose1 w:val="02010609060101010101"/>
    <w:charset w:val="86"/>
    <w:family w:val="modern"/>
    <w:pitch w:val="fixed"/>
    <w:sig w:usb0="800002BF" w:usb1="38CF7CFA" w:usb2="00000016" w:usb3="00000000" w:csb0="00040001" w:csb1="00000000"/>
    <w:embedRegular r:id="rId1" w:subsetted="1" w:fontKey="{EFAAF71B-5697-4D7D-9EB3-2639446A6429}"/>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仿宋_GB2312">
    <w:panose1 w:val="02010609030101010101"/>
    <w:charset w:val="86"/>
    <w:family w:val="modern"/>
    <w:pitch w:val="fixed"/>
    <w:sig w:usb0="00000001" w:usb1="080E0000" w:usb2="00000010" w:usb3="00000000" w:csb0="00040000" w:csb1="00000000"/>
    <w:embedRegular r:id="rId2" w:subsetted="1" w:fontKey="{0FDBE8B8-6F51-4F3E-A336-66BFCC257054}"/>
    <w:embedBold r:id="rId3" w:subsetted="1" w:fontKey="{A25366D8-D935-47BC-B864-7B80A0B26C90}"/>
  </w:font>
  <w:font w:name="Segoe UI">
    <w:panose1 w:val="020B0502040204020203"/>
    <w:charset w:val="00"/>
    <w:family w:val="swiss"/>
    <w:pitch w:val="variable"/>
    <w:sig w:usb0="E10022FF" w:usb1="C000E47F" w:usb2="00000029" w:usb3="00000000" w:csb0="000001DF" w:csb1="00000000"/>
    <w:embedRegular r:id="rId4" w:subsetted="1" w:fontKey="{793C1965-A48F-40C5-A382-77AD57B65306}"/>
  </w:font>
  <w:font w:name="方正小标宋简体">
    <w:panose1 w:val="03000509000000000000"/>
    <w:charset w:val="86"/>
    <w:family w:val="script"/>
    <w:pitch w:val="fixed"/>
    <w:sig w:usb0="00000001" w:usb1="080E0000" w:usb2="00000010" w:usb3="00000000" w:csb0="00040000" w:csb1="00000000"/>
    <w:embedRegular r:id="rId5" w:subsetted="1" w:fontKey="{C25B8B37-D37E-4A63-8A78-7F9A8BA8EB7A}"/>
  </w:font>
  <w:font w:name="仿宋">
    <w:panose1 w:val="02010609060101010101"/>
    <w:charset w:val="86"/>
    <w:family w:val="modern"/>
    <w:pitch w:val="fixed"/>
    <w:sig w:usb0="800002BF" w:usb1="38CF7CFA" w:usb2="00000016" w:usb3="00000000" w:csb0="00040001" w:csb1="00000000"/>
    <w:embedBold r:id="rId6" w:subsetted="1" w:fontKey="{E0EF11BE-D38C-4DF9-8C27-B223825DF534}"/>
  </w:font>
  <w:font w:name="Arial">
    <w:panose1 w:val="020B0604020202020204"/>
    <w:charset w:val="00"/>
    <w:family w:val="swiss"/>
    <w:pitch w:val="variable"/>
    <w:sig w:usb0="E0002AFF" w:usb1="C0007843" w:usb2="00000009" w:usb3="00000000" w:csb0="000001FF" w:csb1="00000000"/>
  </w:font>
  <w:font w:name="楷体">
    <w:panose1 w:val="02010609060101010101"/>
    <w:charset w:val="86"/>
    <w:family w:val="modern"/>
    <w:pitch w:val="fixed"/>
    <w:sig w:usb0="800002BF" w:usb1="38CF7CFA" w:usb2="00000016" w:usb3="00000000" w:csb0="00040001" w:csb1="00000000"/>
    <w:embedBold r:id="rId7" w:subsetted="1" w:fontKey="{2B4EE860-5744-4491-A47C-AC3B2BC92DF4}"/>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958E1" w:rsidRDefault="009958E1">
    <w:pPr>
      <w:pStyle w:val="af9"/>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3316374"/>
    </w:sdtPr>
    <w:sdtEndPr/>
    <w:sdtContent>
      <w:p w:rsidR="009958E1" w:rsidRDefault="00CF4061">
        <w:pPr>
          <w:pStyle w:val="af9"/>
          <w:ind w:firstLine="360"/>
          <w:jc w:val="center"/>
        </w:pPr>
        <w:r>
          <w:fldChar w:fldCharType="begin"/>
        </w:r>
        <w:r>
          <w:instrText>PAGE   \* MERGEFORMAT</w:instrText>
        </w:r>
        <w:r>
          <w:fldChar w:fldCharType="separate"/>
        </w:r>
        <w:r w:rsidR="00F75B80" w:rsidRPr="00F75B80">
          <w:rPr>
            <w:noProof/>
            <w:lang w:val="zh-CN"/>
          </w:rPr>
          <w:t>1</w:t>
        </w:r>
        <w:r>
          <w:fldChar w:fldCharType="end"/>
        </w:r>
      </w:p>
    </w:sdtContent>
  </w:sdt>
  <w:p w:rsidR="009958E1" w:rsidRDefault="009958E1">
    <w:pPr>
      <w:pStyle w:val="af9"/>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958E1" w:rsidRDefault="009958E1">
    <w:pPr>
      <w:pStyle w:val="af9"/>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F4061" w:rsidRDefault="00CF4061">
      <w:pPr>
        <w:ind w:firstLine="640"/>
      </w:pPr>
      <w:r>
        <w:separator/>
      </w:r>
    </w:p>
  </w:footnote>
  <w:footnote w:type="continuationSeparator" w:id="0">
    <w:p w:rsidR="00CF4061" w:rsidRDefault="00CF4061">
      <w:pPr>
        <w:ind w:firstLine="64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958E1" w:rsidRDefault="009958E1">
    <w:pPr>
      <w:pStyle w:val="afa"/>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958E1" w:rsidRDefault="009958E1">
    <w:pPr>
      <w:ind w:left="640" w:firstLineChars="0" w:firstLine="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958E1" w:rsidRDefault="009958E1">
    <w:pPr>
      <w:pStyle w:val="afa"/>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144A980"/>
    <w:multiLevelType w:val="singleLevel"/>
    <w:tmpl w:val="8144A980"/>
    <w:lvl w:ilvl="0">
      <w:start w:val="2"/>
      <w:numFmt w:val="chineseCounting"/>
      <w:suff w:val="nothing"/>
      <w:lvlText w:val="（%1）"/>
      <w:lvlJc w:val="left"/>
      <w:rPr>
        <w:rFonts w:hint="eastAsia"/>
      </w:rPr>
    </w:lvl>
  </w:abstractNum>
  <w:abstractNum w:abstractNumId="1">
    <w:nsid w:val="97A44355"/>
    <w:multiLevelType w:val="singleLevel"/>
    <w:tmpl w:val="97A44355"/>
    <w:lvl w:ilvl="0">
      <w:start w:val="1"/>
      <w:numFmt w:val="decimal"/>
      <w:suff w:val="nothing"/>
      <w:lvlText w:val="%1、"/>
      <w:lvlJc w:val="left"/>
    </w:lvl>
  </w:abstractNum>
  <w:abstractNum w:abstractNumId="2">
    <w:nsid w:val="BFCE7D34"/>
    <w:multiLevelType w:val="multilevel"/>
    <w:tmpl w:val="BFCE7D34"/>
    <w:lvl w:ilvl="0">
      <w:start w:val="1"/>
      <w:numFmt w:val="upperLetter"/>
      <w:suff w:val="space"/>
      <w:lvlText w:val="%1"/>
      <w:lvlJc w:val="left"/>
      <w:pPr>
        <w:ind w:left="425" w:hanging="425"/>
      </w:pPr>
    </w:lvl>
    <w:lvl w:ilvl="1">
      <w:start w:val="1"/>
      <w:numFmt w:val="decimal"/>
      <w:pStyle w:val="a"/>
      <w:suff w:val="space"/>
      <w:lvlText w:val="表%1.%2"/>
      <w:lvlJc w:val="center"/>
      <w:pPr>
        <w:ind w:left="0" w:firstLine="0"/>
      </w:pPr>
      <w:rPr>
        <w:rFonts w:ascii="黑体" w:eastAsia="黑体" w:hAnsi="Times New Roman" w:cs="黑体" w:hint="eastAsia"/>
        <w:sz w:val="21"/>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5"/>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3">
    <w:nsid w:val="E09D9079"/>
    <w:multiLevelType w:val="multilevel"/>
    <w:tmpl w:val="E09D9079"/>
    <w:lvl w:ilvl="0">
      <w:start w:val="1"/>
      <w:numFmt w:val="none"/>
      <w:suff w:val="nothing"/>
      <w:lvlText w:val="%1"/>
      <w:lvlJc w:val="left"/>
      <w:pPr>
        <w:ind w:left="0" w:firstLine="0"/>
      </w:pPr>
    </w:lvl>
    <w:lvl w:ilvl="1">
      <w:start w:val="1"/>
      <w:numFmt w:val="decimal"/>
      <w:suff w:val="nothing"/>
      <w:lvlText w:val="%1%2　"/>
      <w:lvlJc w:val="left"/>
      <w:pPr>
        <w:ind w:left="0" w:firstLine="0"/>
      </w:pPr>
      <w:rPr>
        <w:rFonts w:ascii="黑体" w:eastAsia="黑体" w:hAnsi="Times New Roman" w:cs="黑体" w:hint="eastAsia"/>
        <w:b w:val="0"/>
        <w:i w:val="0"/>
        <w:sz w:val="21"/>
      </w:rPr>
    </w:lvl>
    <w:lvl w:ilvl="2">
      <w:start w:val="1"/>
      <w:numFmt w:val="decimal"/>
      <w:suff w:val="nothing"/>
      <w:lvlText w:val="%1%2.%3　"/>
      <w:lvlJc w:val="left"/>
      <w:pPr>
        <w:ind w:left="0" w:firstLine="0"/>
        <w:textAlignment w:val="baseline"/>
      </w:pPr>
      <w:rPr>
        <w:rFonts w:ascii="黑体" w:eastAsia="黑体" w:hAnsi="Times New Roman" w:cs="Times New Roman" w:hint="eastAsia"/>
        <w:b w:val="0"/>
        <w:bCs w:val="0"/>
        <w:i w:val="0"/>
        <w:iCs w:val="0"/>
        <w:caps w:val="0"/>
        <w:strike w:val="0"/>
        <w:dstrike w:val="0"/>
        <w:vanish w:val="0"/>
        <w:color w:val="000000"/>
        <w:spacing w:val="0"/>
        <w:kern w:val="0"/>
        <w:position w:val="0"/>
        <w:sz w:val="21"/>
        <w:u w:val="none"/>
      </w:rPr>
    </w:lvl>
    <w:lvl w:ilvl="3">
      <w:start w:val="1"/>
      <w:numFmt w:val="decimal"/>
      <w:pStyle w:val="a0"/>
      <w:suff w:val="nothing"/>
      <w:lvlText w:val="%1%2.%3.%4　"/>
      <w:lvlJc w:val="left"/>
      <w:pPr>
        <w:ind w:left="0" w:firstLine="0"/>
      </w:pPr>
      <w:rPr>
        <w:rFonts w:ascii="黑体" w:eastAsia="黑体" w:hAnsi="Times New Roman" w:cs="黑体" w:hint="eastAsia"/>
        <w:b w:val="0"/>
        <w:i w:val="0"/>
        <w:sz w:val="21"/>
      </w:rPr>
    </w:lvl>
    <w:lvl w:ilvl="4">
      <w:start w:val="1"/>
      <w:numFmt w:val="decimal"/>
      <w:suff w:val="nothing"/>
      <w:lvlText w:val="%1%2.%3.%4.%5　"/>
      <w:lvlJc w:val="left"/>
      <w:pPr>
        <w:ind w:left="0" w:firstLine="0"/>
      </w:pPr>
      <w:rPr>
        <w:rFonts w:ascii="黑体" w:eastAsia="黑体" w:hAnsi="Times New Roman" w:cs="黑体" w:hint="eastAsia"/>
        <w:b w:val="0"/>
        <w:i w:val="0"/>
        <w:sz w:val="21"/>
      </w:rPr>
    </w:lvl>
    <w:lvl w:ilvl="5">
      <w:start w:val="1"/>
      <w:numFmt w:val="decimal"/>
      <w:suff w:val="nothing"/>
      <w:lvlText w:val="%1%2.%3.%4.%5.%6　"/>
      <w:lvlJc w:val="left"/>
      <w:pPr>
        <w:ind w:left="0" w:firstLine="0"/>
      </w:pPr>
      <w:rPr>
        <w:rFonts w:ascii="黑体" w:eastAsia="黑体" w:hAnsi="Times New Roman" w:cs="黑体" w:hint="eastAsia"/>
        <w:b w:val="0"/>
        <w:i w:val="0"/>
        <w:sz w:val="21"/>
      </w:rPr>
    </w:lvl>
    <w:lvl w:ilvl="6">
      <w:start w:val="1"/>
      <w:numFmt w:val="decimal"/>
      <w:suff w:val="nothing"/>
      <w:lvlText w:val="%1%2.%3.%4.%5.%6.%7　"/>
      <w:lvlJc w:val="left"/>
      <w:pPr>
        <w:ind w:left="0" w:firstLine="0"/>
      </w:pPr>
      <w:rPr>
        <w:rFonts w:ascii="黑体" w:eastAsia="黑体" w:hAnsi="Times New Roman" w:cs="黑体" w:hint="eastAsia"/>
        <w:b w:val="0"/>
        <w:i w:val="0"/>
        <w:sz w:val="21"/>
      </w:rPr>
    </w:lvl>
    <w:lvl w:ilvl="7">
      <w:start w:val="1"/>
      <w:numFmt w:val="decimal"/>
      <w:lvlText w:val="%1.%2.%3.%4.%5.%6.%7.%8"/>
      <w:lvlJc w:val="left"/>
      <w:pPr>
        <w:tabs>
          <w:tab w:val="left" w:pos="4351"/>
        </w:tabs>
        <w:ind w:left="3972" w:hanging="1418"/>
      </w:pPr>
    </w:lvl>
    <w:lvl w:ilvl="8">
      <w:start w:val="1"/>
      <w:numFmt w:val="decimal"/>
      <w:lvlText w:val="%1.%2.%3.%4.%5.%6.%7.%8.%9"/>
      <w:lvlJc w:val="left"/>
      <w:pPr>
        <w:tabs>
          <w:tab w:val="left" w:pos="4777"/>
        </w:tabs>
        <w:ind w:left="4677" w:hanging="1700"/>
      </w:pPr>
    </w:lvl>
  </w:abstractNum>
  <w:abstractNum w:abstractNumId="4">
    <w:nsid w:val="E6F4C356"/>
    <w:multiLevelType w:val="multilevel"/>
    <w:tmpl w:val="E6F4C356"/>
    <w:lvl w:ilvl="0">
      <w:start w:val="1"/>
      <w:numFmt w:val="none"/>
      <w:pStyle w:val="a1"/>
      <w:lvlText w:val="%1注："/>
      <w:lvlJc w:val="left"/>
      <w:pPr>
        <w:ind w:left="737" w:hanging="374"/>
      </w:pPr>
      <w:rPr>
        <w:rFonts w:ascii="黑体" w:eastAsia="黑体" w:hAnsi="Times New Roman" w:cs="黑体" w:hint="eastAsia"/>
        <w:b w:val="0"/>
        <w:i w:val="0"/>
        <w:sz w:val="18"/>
      </w:rPr>
    </w:lvl>
    <w:lvl w:ilvl="1">
      <w:start w:val="1"/>
      <w:numFmt w:val="lowerLetter"/>
      <w:lvlText w:val="%2)"/>
      <w:lvlJc w:val="left"/>
      <w:pPr>
        <w:tabs>
          <w:tab w:val="left" w:pos="1140"/>
        </w:tabs>
        <w:ind w:left="726" w:hanging="363"/>
      </w:pPr>
    </w:lvl>
    <w:lvl w:ilvl="2">
      <w:start w:val="1"/>
      <w:numFmt w:val="lowerRoman"/>
      <w:lvlText w:val="%3."/>
      <w:lvlJc w:val="right"/>
      <w:pPr>
        <w:tabs>
          <w:tab w:val="left" w:pos="1140"/>
        </w:tabs>
        <w:ind w:left="726" w:hanging="363"/>
      </w:pPr>
    </w:lvl>
    <w:lvl w:ilvl="3">
      <w:start w:val="1"/>
      <w:numFmt w:val="decimal"/>
      <w:lvlText w:val="%4."/>
      <w:lvlJc w:val="left"/>
      <w:pPr>
        <w:tabs>
          <w:tab w:val="left" w:pos="1140"/>
        </w:tabs>
        <w:ind w:left="726" w:hanging="363"/>
      </w:pPr>
    </w:lvl>
    <w:lvl w:ilvl="4">
      <w:start w:val="1"/>
      <w:numFmt w:val="lowerLetter"/>
      <w:lvlText w:val="%5)"/>
      <w:lvlJc w:val="left"/>
      <w:pPr>
        <w:tabs>
          <w:tab w:val="left" w:pos="1140"/>
        </w:tabs>
        <w:ind w:left="726" w:hanging="363"/>
      </w:pPr>
    </w:lvl>
    <w:lvl w:ilvl="5">
      <w:start w:val="1"/>
      <w:numFmt w:val="lowerRoman"/>
      <w:lvlText w:val="%6."/>
      <w:lvlJc w:val="right"/>
      <w:pPr>
        <w:tabs>
          <w:tab w:val="left" w:pos="1140"/>
        </w:tabs>
        <w:ind w:left="726" w:hanging="363"/>
      </w:pPr>
    </w:lvl>
    <w:lvl w:ilvl="6">
      <w:start w:val="1"/>
      <w:numFmt w:val="decimal"/>
      <w:lvlText w:val="%7."/>
      <w:lvlJc w:val="left"/>
      <w:pPr>
        <w:tabs>
          <w:tab w:val="left" w:pos="1140"/>
        </w:tabs>
        <w:ind w:left="726" w:hanging="363"/>
      </w:pPr>
    </w:lvl>
    <w:lvl w:ilvl="7">
      <w:start w:val="1"/>
      <w:numFmt w:val="lowerLetter"/>
      <w:lvlText w:val="%8)"/>
      <w:lvlJc w:val="left"/>
      <w:pPr>
        <w:tabs>
          <w:tab w:val="left" w:pos="1140"/>
        </w:tabs>
        <w:ind w:left="726" w:hanging="363"/>
      </w:pPr>
    </w:lvl>
    <w:lvl w:ilvl="8">
      <w:start w:val="1"/>
      <w:numFmt w:val="lowerRoman"/>
      <w:lvlText w:val="%9."/>
      <w:lvlJc w:val="right"/>
      <w:pPr>
        <w:tabs>
          <w:tab w:val="left" w:pos="1140"/>
        </w:tabs>
        <w:ind w:left="726" w:hanging="363"/>
      </w:pPr>
    </w:lvl>
  </w:abstractNum>
  <w:abstractNum w:abstractNumId="5">
    <w:nsid w:val="EC520B8A"/>
    <w:multiLevelType w:val="multilevel"/>
    <w:tmpl w:val="EC520B8A"/>
    <w:lvl w:ilvl="0">
      <w:start w:val="1"/>
      <w:numFmt w:val="none"/>
      <w:suff w:val="nothing"/>
      <w:lvlText w:val="%1"/>
      <w:lvlJc w:val="left"/>
      <w:pPr>
        <w:tabs>
          <w:tab w:val="left" w:pos="0"/>
        </w:tabs>
        <w:ind w:left="0" w:firstLine="0"/>
      </w:pPr>
      <w:rPr>
        <w:rFonts w:cs="Times New Roman"/>
      </w:rPr>
    </w:lvl>
    <w:lvl w:ilvl="1">
      <w:start w:val="1"/>
      <w:numFmt w:val="decimal"/>
      <w:suff w:val="nothing"/>
      <w:lvlText w:val="%1%2　"/>
      <w:lvlJc w:val="left"/>
      <w:pPr>
        <w:tabs>
          <w:tab w:val="left" w:pos="0"/>
        </w:tabs>
        <w:ind w:left="0" w:firstLine="0"/>
      </w:pPr>
      <w:rPr>
        <w:rFonts w:ascii="黑体" w:eastAsia="黑体" w:hAnsi="Times New Roman" w:cs="Times New Roman" w:hint="eastAsia"/>
        <w:b w:val="0"/>
        <w:i w:val="0"/>
        <w:sz w:val="21"/>
      </w:rPr>
    </w:lvl>
    <w:lvl w:ilvl="2">
      <w:start w:val="1"/>
      <w:numFmt w:val="decimal"/>
      <w:pStyle w:val="a2"/>
      <w:suff w:val="nothing"/>
      <w:lvlText w:val="%1%2.%3　"/>
      <w:lvlJc w:val="left"/>
      <w:pPr>
        <w:tabs>
          <w:tab w:val="left" w:pos="0"/>
        </w:tabs>
        <w:ind w:left="0" w:firstLine="0"/>
      </w:pPr>
      <w:rPr>
        <w:rFonts w:ascii="黑体" w:eastAsia="黑体" w:hAnsi="Times New Roman" w:cs="Times New Roman" w:hint="eastAsia"/>
        <w:b w:val="0"/>
        <w:bCs w:val="0"/>
        <w:i w:val="0"/>
        <w:iCs w:val="0"/>
        <w:caps w:val="0"/>
        <w:strike w:val="0"/>
        <w:dstrike w:val="0"/>
        <w:vanish w:val="0"/>
        <w:color w:val="000000"/>
        <w:spacing w:val="0"/>
        <w:kern w:val="0"/>
        <w:position w:val="0"/>
        <w:sz w:val="21"/>
        <w:u w:val="none"/>
      </w:rPr>
    </w:lvl>
    <w:lvl w:ilvl="3">
      <w:start w:val="1"/>
      <w:numFmt w:val="decimal"/>
      <w:suff w:val="nothing"/>
      <w:lvlText w:val="%1%2.%3.%4　"/>
      <w:lvlJc w:val="left"/>
      <w:pPr>
        <w:tabs>
          <w:tab w:val="left" w:pos="0"/>
        </w:tabs>
        <w:ind w:left="0" w:firstLine="0"/>
      </w:pPr>
      <w:rPr>
        <w:rFonts w:ascii="黑体" w:eastAsia="黑体" w:hAnsi="Times New Roman" w:cs="Times New Roman" w:hint="eastAsia"/>
        <w:b w:val="0"/>
        <w:i w:val="0"/>
        <w:sz w:val="21"/>
      </w:rPr>
    </w:lvl>
    <w:lvl w:ilvl="4">
      <w:start w:val="1"/>
      <w:numFmt w:val="decimal"/>
      <w:suff w:val="nothing"/>
      <w:lvlText w:val="%1%2.%3.%4.%5　"/>
      <w:lvlJc w:val="left"/>
      <w:pPr>
        <w:tabs>
          <w:tab w:val="left" w:pos="0"/>
        </w:tabs>
        <w:ind w:left="0" w:firstLine="0"/>
      </w:pPr>
      <w:rPr>
        <w:rFonts w:ascii="黑体" w:eastAsia="黑体" w:hAnsi="Times New Roman" w:cs="Times New Roman" w:hint="eastAsia"/>
        <w:b w:val="0"/>
        <w:i w:val="0"/>
        <w:sz w:val="21"/>
      </w:rPr>
    </w:lvl>
    <w:lvl w:ilvl="5">
      <w:start w:val="1"/>
      <w:numFmt w:val="decimal"/>
      <w:suff w:val="nothing"/>
      <w:lvlText w:val="%1%2.%3.%4.%5.%6　"/>
      <w:lvlJc w:val="left"/>
      <w:pPr>
        <w:tabs>
          <w:tab w:val="left" w:pos="0"/>
        </w:tabs>
        <w:ind w:left="0" w:firstLine="0"/>
      </w:pPr>
      <w:rPr>
        <w:rFonts w:ascii="黑体" w:eastAsia="黑体" w:hAnsi="Times New Roman" w:cs="Times New Roman" w:hint="eastAsia"/>
        <w:b w:val="0"/>
        <w:i w:val="0"/>
        <w:sz w:val="21"/>
      </w:rPr>
    </w:lvl>
    <w:lvl w:ilvl="6">
      <w:start w:val="1"/>
      <w:numFmt w:val="decimal"/>
      <w:suff w:val="nothing"/>
      <w:lvlText w:val="%1%2.%3.%4.%5.%6.%7　"/>
      <w:lvlJc w:val="left"/>
      <w:pPr>
        <w:tabs>
          <w:tab w:val="left" w:pos="0"/>
        </w:tabs>
        <w:ind w:left="0" w:firstLine="0"/>
      </w:pPr>
      <w:rPr>
        <w:rFonts w:ascii="黑体" w:eastAsia="黑体" w:hAnsi="Times New Roman" w:cs="Times New Roman" w:hint="eastAsia"/>
        <w:b w:val="0"/>
        <w:i w:val="0"/>
        <w:sz w:val="21"/>
      </w:rPr>
    </w:lvl>
    <w:lvl w:ilvl="7">
      <w:start w:val="1"/>
      <w:numFmt w:val="decimal"/>
      <w:lvlText w:val="%1.%2.%3.%4.%5.%6.%7.%8"/>
      <w:lvlJc w:val="left"/>
      <w:pPr>
        <w:tabs>
          <w:tab w:val="left" w:pos="4351"/>
        </w:tabs>
        <w:ind w:left="3972" w:hanging="1418"/>
      </w:pPr>
      <w:rPr>
        <w:rFonts w:cs="Times New Roman"/>
      </w:rPr>
    </w:lvl>
    <w:lvl w:ilvl="8">
      <w:start w:val="1"/>
      <w:numFmt w:val="decimal"/>
      <w:lvlText w:val="%1.%2.%3.%4.%5.%6.%7.%8.%9"/>
      <w:lvlJc w:val="left"/>
      <w:pPr>
        <w:tabs>
          <w:tab w:val="left" w:pos="4777"/>
        </w:tabs>
        <w:ind w:left="4677" w:hanging="1700"/>
      </w:pPr>
      <w:rPr>
        <w:rFonts w:cs="Times New Roman"/>
      </w:rPr>
    </w:lvl>
  </w:abstractNum>
  <w:abstractNum w:abstractNumId="6">
    <w:nsid w:val="079102AD"/>
    <w:multiLevelType w:val="multilevel"/>
    <w:tmpl w:val="079102AD"/>
    <w:lvl w:ilvl="0">
      <w:start w:val="1"/>
      <w:numFmt w:val="decimal"/>
      <w:pStyle w:val="a3"/>
      <w:suff w:val="nothing"/>
      <w:lvlText w:val="注%1："/>
      <w:lvlJc w:val="left"/>
      <w:pPr>
        <w:ind w:left="811" w:hanging="448"/>
      </w:pPr>
      <w:rPr>
        <w:rFonts w:ascii="黑体" w:eastAsia="黑体" w:hint="eastAsia"/>
        <w:b w:val="0"/>
        <w:i w:val="0"/>
        <w:sz w:val="18"/>
        <w:lang w:val="en-US"/>
      </w:rPr>
    </w:lvl>
    <w:lvl w:ilvl="1">
      <w:start w:val="1"/>
      <w:numFmt w:val="lowerLetter"/>
      <w:lvlText w:val="%2)"/>
      <w:lvlJc w:val="left"/>
      <w:pPr>
        <w:tabs>
          <w:tab w:val="left" w:pos="0"/>
        </w:tabs>
        <w:ind w:left="992" w:hanging="629"/>
      </w:pPr>
      <w:rPr>
        <w:rFonts w:hint="eastAsia"/>
      </w:rPr>
    </w:lvl>
    <w:lvl w:ilvl="2">
      <w:start w:val="1"/>
      <w:numFmt w:val="lowerRoman"/>
      <w:lvlText w:val="%3."/>
      <w:lvlJc w:val="right"/>
      <w:pPr>
        <w:tabs>
          <w:tab w:val="left" w:pos="0"/>
        </w:tabs>
        <w:ind w:left="992" w:hanging="629"/>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7">
    <w:nsid w:val="0DDE2B46"/>
    <w:multiLevelType w:val="multilevel"/>
    <w:tmpl w:val="0DDE2B46"/>
    <w:lvl w:ilvl="0">
      <w:start w:val="1"/>
      <w:numFmt w:val="lowerLetter"/>
      <w:pStyle w:val="a4"/>
      <w:suff w:val="nothing"/>
      <w:lvlText w:val="%1   "/>
      <w:lvlJc w:val="left"/>
      <w:pPr>
        <w:ind w:left="544" w:hanging="181"/>
      </w:pPr>
      <w:rPr>
        <w:rFonts w:ascii="宋体" w:eastAsia="宋体" w:hAnsi="宋体" w:hint="eastAsia"/>
        <w:b w:val="0"/>
        <w:i w:val="0"/>
        <w:sz w:val="18"/>
        <w:vertAlign w:val="superscript"/>
      </w:rPr>
    </w:lvl>
    <w:lvl w:ilvl="1">
      <w:start w:val="1"/>
      <w:numFmt w:val="lowerLetter"/>
      <w:lvlText w:val="%2"/>
      <w:lvlJc w:val="left"/>
      <w:pPr>
        <w:tabs>
          <w:tab w:val="left" w:pos="57"/>
        </w:tabs>
        <w:ind w:left="363" w:hanging="363"/>
      </w:pPr>
      <w:rPr>
        <w:rFonts w:hint="eastAsia"/>
      </w:rPr>
    </w:lvl>
    <w:lvl w:ilvl="2">
      <w:start w:val="1"/>
      <w:numFmt w:val="lowerRoman"/>
      <w:lvlText w:val="%3."/>
      <w:lvlJc w:val="right"/>
      <w:pPr>
        <w:tabs>
          <w:tab w:val="left" w:pos="57"/>
        </w:tabs>
        <w:ind w:left="363" w:hanging="363"/>
      </w:pPr>
      <w:rPr>
        <w:rFonts w:hint="eastAsia"/>
      </w:rPr>
    </w:lvl>
    <w:lvl w:ilvl="3">
      <w:start w:val="1"/>
      <w:numFmt w:val="decimal"/>
      <w:lvlText w:val="%4."/>
      <w:lvlJc w:val="left"/>
      <w:pPr>
        <w:tabs>
          <w:tab w:val="left" w:pos="57"/>
        </w:tabs>
        <w:ind w:left="363" w:hanging="363"/>
      </w:pPr>
      <w:rPr>
        <w:rFonts w:hint="eastAsia"/>
      </w:rPr>
    </w:lvl>
    <w:lvl w:ilvl="4">
      <w:start w:val="1"/>
      <w:numFmt w:val="lowerLetter"/>
      <w:lvlText w:val="%5)"/>
      <w:lvlJc w:val="left"/>
      <w:pPr>
        <w:tabs>
          <w:tab w:val="left" w:pos="57"/>
        </w:tabs>
        <w:ind w:left="363" w:hanging="363"/>
      </w:pPr>
      <w:rPr>
        <w:rFonts w:hint="eastAsia"/>
      </w:rPr>
    </w:lvl>
    <w:lvl w:ilvl="5">
      <w:start w:val="1"/>
      <w:numFmt w:val="lowerRoman"/>
      <w:lvlText w:val="%6."/>
      <w:lvlJc w:val="right"/>
      <w:pPr>
        <w:tabs>
          <w:tab w:val="left" w:pos="57"/>
        </w:tabs>
        <w:ind w:left="363" w:hanging="363"/>
      </w:pPr>
      <w:rPr>
        <w:rFonts w:hint="eastAsia"/>
      </w:rPr>
    </w:lvl>
    <w:lvl w:ilvl="6">
      <w:start w:val="1"/>
      <w:numFmt w:val="decimal"/>
      <w:lvlText w:val="%7."/>
      <w:lvlJc w:val="left"/>
      <w:pPr>
        <w:tabs>
          <w:tab w:val="left" w:pos="57"/>
        </w:tabs>
        <w:ind w:left="363" w:hanging="363"/>
      </w:pPr>
      <w:rPr>
        <w:rFonts w:hint="eastAsia"/>
      </w:rPr>
    </w:lvl>
    <w:lvl w:ilvl="7">
      <w:start w:val="1"/>
      <w:numFmt w:val="lowerLetter"/>
      <w:lvlText w:val="%8)"/>
      <w:lvlJc w:val="left"/>
      <w:pPr>
        <w:tabs>
          <w:tab w:val="left" w:pos="57"/>
        </w:tabs>
        <w:ind w:left="363" w:hanging="363"/>
      </w:pPr>
      <w:rPr>
        <w:rFonts w:hint="eastAsia"/>
      </w:rPr>
    </w:lvl>
    <w:lvl w:ilvl="8">
      <w:start w:val="1"/>
      <w:numFmt w:val="lowerRoman"/>
      <w:lvlText w:val="%9."/>
      <w:lvlJc w:val="right"/>
      <w:pPr>
        <w:tabs>
          <w:tab w:val="left" w:pos="57"/>
        </w:tabs>
        <w:ind w:left="363" w:hanging="363"/>
      </w:pPr>
      <w:rPr>
        <w:rFonts w:hint="eastAsia"/>
      </w:rPr>
    </w:lvl>
  </w:abstractNum>
  <w:abstractNum w:abstractNumId="8">
    <w:nsid w:val="19A288B3"/>
    <w:multiLevelType w:val="multilevel"/>
    <w:tmpl w:val="19A288B3"/>
    <w:lvl w:ilvl="0">
      <w:start w:val="1"/>
      <w:numFmt w:val="upperLetter"/>
      <w:suff w:val="nothing"/>
      <w:lvlText w:val="附录%1"/>
      <w:lvlJc w:val="left"/>
      <w:pPr>
        <w:ind w:left="0" w:firstLine="0"/>
      </w:pPr>
      <w:rPr>
        <w:spacing w:val="100"/>
      </w:rPr>
    </w:lvl>
    <w:lvl w:ilvl="1">
      <w:start w:val="1"/>
      <w:numFmt w:val="decimal"/>
      <w:pStyle w:val="a5"/>
      <w:suff w:val="nothing"/>
      <w:lvlText w:val="%1.%2　"/>
      <w:lvlJc w:val="left"/>
      <w:pPr>
        <w:ind w:left="0" w:firstLine="0"/>
      </w:pPr>
      <w:rPr>
        <w:rFonts w:ascii="黑体" w:eastAsia="黑体" w:hAnsi="Times New Roman" w:cs="黑体" w:hint="eastAsia"/>
        <w:b w:val="0"/>
        <w:i w:val="0"/>
        <w:sz w:val="21"/>
      </w:rPr>
    </w:lvl>
    <w:lvl w:ilvl="2">
      <w:start w:val="1"/>
      <w:numFmt w:val="decimal"/>
      <w:suff w:val="nothing"/>
      <w:lvlText w:val="%1.%2.%3　"/>
      <w:lvlJc w:val="left"/>
      <w:pPr>
        <w:ind w:left="0" w:firstLine="0"/>
      </w:pPr>
      <w:rPr>
        <w:rFonts w:ascii="黑体" w:eastAsia="黑体" w:hAnsi="Times New Roman" w:cs="黑体" w:hint="eastAsia"/>
        <w:b w:val="0"/>
        <w:i w:val="0"/>
        <w:sz w:val="21"/>
      </w:rPr>
    </w:lvl>
    <w:lvl w:ilvl="3">
      <w:start w:val="1"/>
      <w:numFmt w:val="decimal"/>
      <w:suff w:val="nothing"/>
      <w:lvlText w:val="%1.%2.%3.%4　"/>
      <w:lvlJc w:val="left"/>
      <w:pPr>
        <w:ind w:left="0" w:firstLine="0"/>
      </w:pPr>
      <w:rPr>
        <w:rFonts w:ascii="黑体" w:eastAsia="黑体" w:hAnsi="Times New Roman" w:cs="黑体" w:hint="eastAsia"/>
        <w:b w:val="0"/>
        <w:i w:val="0"/>
        <w:sz w:val="21"/>
      </w:rPr>
    </w:lvl>
    <w:lvl w:ilvl="4">
      <w:start w:val="1"/>
      <w:numFmt w:val="decimal"/>
      <w:suff w:val="nothing"/>
      <w:lvlText w:val="%1.%2.%3.%4.%5　"/>
      <w:lvlJc w:val="left"/>
      <w:pPr>
        <w:ind w:left="0" w:firstLine="0"/>
      </w:pPr>
      <w:rPr>
        <w:rFonts w:ascii="黑体" w:eastAsia="黑体" w:hAnsi="Times New Roman" w:cs="黑体" w:hint="eastAsia"/>
        <w:b w:val="0"/>
        <w:i w:val="0"/>
        <w:sz w:val="21"/>
      </w:rPr>
    </w:lvl>
    <w:lvl w:ilvl="5">
      <w:start w:val="1"/>
      <w:numFmt w:val="decimal"/>
      <w:suff w:val="nothing"/>
      <w:lvlText w:val="%1.%2.%3.%4.%5.%6　"/>
      <w:lvlJc w:val="left"/>
      <w:pPr>
        <w:ind w:left="0" w:firstLine="0"/>
      </w:pPr>
      <w:rPr>
        <w:rFonts w:ascii="黑体" w:eastAsia="黑体" w:hAnsi="Times New Roman" w:cs="黑体" w:hint="eastAsia"/>
        <w:b w:val="0"/>
        <w:i w:val="0"/>
        <w:sz w:val="21"/>
      </w:rPr>
    </w:lvl>
    <w:lvl w:ilvl="6">
      <w:start w:val="1"/>
      <w:numFmt w:val="decimal"/>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9">
    <w:nsid w:val="1DBF583A"/>
    <w:multiLevelType w:val="multilevel"/>
    <w:tmpl w:val="1DBF583A"/>
    <w:lvl w:ilvl="0">
      <w:start w:val="1"/>
      <w:numFmt w:val="decimal"/>
      <w:pStyle w:val="a6"/>
      <w:suff w:val="nothing"/>
      <w:lvlText w:val="注%1："/>
      <w:lvlJc w:val="left"/>
      <w:pPr>
        <w:ind w:left="811" w:hanging="448"/>
      </w:pPr>
      <w:rPr>
        <w:rFonts w:ascii="黑体" w:eastAsia="黑体" w:hint="eastAsia"/>
        <w:b w:val="0"/>
        <w:i w:val="0"/>
        <w:sz w:val="18"/>
        <w:szCs w:val="18"/>
        <w:vertAlign w:val="baseline"/>
      </w:rPr>
    </w:lvl>
    <w:lvl w:ilvl="1">
      <w:start w:val="1"/>
      <w:numFmt w:val="lowerLetter"/>
      <w:lvlText w:val="%2)"/>
      <w:lvlJc w:val="left"/>
      <w:pPr>
        <w:tabs>
          <w:tab w:val="left" w:pos="180"/>
        </w:tabs>
        <w:ind w:left="1172" w:hanging="629"/>
      </w:pPr>
      <w:rPr>
        <w:rFonts w:hint="eastAsia"/>
        <w:vertAlign w:val="baseline"/>
      </w:rPr>
    </w:lvl>
    <w:lvl w:ilvl="2">
      <w:start w:val="1"/>
      <w:numFmt w:val="lowerRoman"/>
      <w:lvlText w:val="%3."/>
      <w:lvlJc w:val="right"/>
      <w:pPr>
        <w:tabs>
          <w:tab w:val="left" w:pos="180"/>
        </w:tabs>
        <w:ind w:left="1172" w:hanging="629"/>
      </w:pPr>
      <w:rPr>
        <w:rFonts w:hint="eastAsia"/>
        <w:vertAlign w:val="baseline"/>
      </w:rPr>
    </w:lvl>
    <w:lvl w:ilvl="3">
      <w:start w:val="1"/>
      <w:numFmt w:val="decimal"/>
      <w:lvlText w:val="%4."/>
      <w:lvlJc w:val="left"/>
      <w:pPr>
        <w:tabs>
          <w:tab w:val="left" w:pos="180"/>
        </w:tabs>
        <w:ind w:left="1172" w:hanging="629"/>
      </w:pPr>
      <w:rPr>
        <w:rFonts w:hint="eastAsia"/>
        <w:vertAlign w:val="baseline"/>
      </w:rPr>
    </w:lvl>
    <w:lvl w:ilvl="4">
      <w:start w:val="1"/>
      <w:numFmt w:val="lowerLetter"/>
      <w:lvlText w:val="%5)"/>
      <w:lvlJc w:val="left"/>
      <w:pPr>
        <w:tabs>
          <w:tab w:val="left" w:pos="180"/>
        </w:tabs>
        <w:ind w:left="1172" w:hanging="629"/>
      </w:pPr>
      <w:rPr>
        <w:rFonts w:hint="eastAsia"/>
        <w:vertAlign w:val="baseline"/>
      </w:rPr>
    </w:lvl>
    <w:lvl w:ilvl="5">
      <w:start w:val="1"/>
      <w:numFmt w:val="lowerRoman"/>
      <w:lvlText w:val="%6."/>
      <w:lvlJc w:val="right"/>
      <w:pPr>
        <w:tabs>
          <w:tab w:val="left" w:pos="180"/>
        </w:tabs>
        <w:ind w:left="1172" w:hanging="629"/>
      </w:pPr>
      <w:rPr>
        <w:rFonts w:hint="eastAsia"/>
        <w:vertAlign w:val="baseline"/>
      </w:rPr>
    </w:lvl>
    <w:lvl w:ilvl="6">
      <w:start w:val="1"/>
      <w:numFmt w:val="decimal"/>
      <w:lvlText w:val="%7."/>
      <w:lvlJc w:val="left"/>
      <w:pPr>
        <w:tabs>
          <w:tab w:val="left" w:pos="180"/>
        </w:tabs>
        <w:ind w:left="1172" w:hanging="629"/>
      </w:pPr>
      <w:rPr>
        <w:rFonts w:hint="eastAsia"/>
        <w:vertAlign w:val="baseline"/>
      </w:rPr>
    </w:lvl>
    <w:lvl w:ilvl="7">
      <w:start w:val="1"/>
      <w:numFmt w:val="lowerLetter"/>
      <w:lvlText w:val="%8)"/>
      <w:lvlJc w:val="left"/>
      <w:pPr>
        <w:tabs>
          <w:tab w:val="left" w:pos="180"/>
        </w:tabs>
        <w:ind w:left="1172" w:hanging="629"/>
      </w:pPr>
      <w:rPr>
        <w:rFonts w:hint="eastAsia"/>
        <w:vertAlign w:val="baseline"/>
      </w:rPr>
    </w:lvl>
    <w:lvl w:ilvl="8">
      <w:start w:val="1"/>
      <w:numFmt w:val="lowerRoman"/>
      <w:lvlText w:val="%9."/>
      <w:lvlJc w:val="right"/>
      <w:pPr>
        <w:tabs>
          <w:tab w:val="left" w:pos="180"/>
        </w:tabs>
        <w:ind w:left="1172" w:hanging="629"/>
      </w:pPr>
      <w:rPr>
        <w:rFonts w:hint="eastAsia"/>
        <w:vertAlign w:val="baseline"/>
      </w:rPr>
    </w:lvl>
  </w:abstractNum>
  <w:abstractNum w:abstractNumId="10">
    <w:nsid w:val="1FC91163"/>
    <w:multiLevelType w:val="multilevel"/>
    <w:tmpl w:val="1FC91163"/>
    <w:lvl w:ilvl="0">
      <w:start w:val="1"/>
      <w:numFmt w:val="decimal"/>
      <w:pStyle w:val="a7"/>
      <w:suff w:val="nothing"/>
      <w:lvlText w:val="%1　"/>
      <w:lvlJc w:val="left"/>
      <w:pPr>
        <w:ind w:left="0" w:firstLine="0"/>
      </w:pPr>
      <w:rPr>
        <w:rFonts w:ascii="黑体" w:eastAsia="黑体" w:hAnsi="Times New Roman" w:hint="eastAsia"/>
        <w:b w:val="0"/>
        <w:i w:val="0"/>
        <w:sz w:val="21"/>
        <w:szCs w:val="21"/>
      </w:rPr>
    </w:lvl>
    <w:lvl w:ilvl="1">
      <w:start w:val="1"/>
      <w:numFmt w:val="decimal"/>
      <w:pStyle w:val="a8"/>
      <w:suff w:val="nothing"/>
      <w:lvlText w:val="%1.%2　"/>
      <w:lvlJc w:val="left"/>
      <w:pPr>
        <w:ind w:left="525" w:firstLine="0"/>
      </w:pPr>
      <w:rPr>
        <w:rFonts w:ascii="黑体" w:eastAsia="黑体" w:hAnsi="Times New Roman" w:cs="Times New Roman" w:hint="eastAsia"/>
        <w:b w:val="0"/>
        <w:bCs w:val="0"/>
        <w:i w:val="0"/>
        <w:iCs w:val="0"/>
        <w:caps w:val="0"/>
        <w:strike w:val="0"/>
        <w:dstrike w:val="0"/>
        <w:vanish w:val="0"/>
        <w:color w:val="000000"/>
        <w:spacing w:val="0"/>
        <w:kern w:val="0"/>
        <w:position w:val="0"/>
        <w:sz w:val="21"/>
        <w:szCs w:val="21"/>
        <w:u w:val="none"/>
        <w:vertAlign w:val="baseline"/>
        <w14:shadow w14:blurRad="0" w14:dist="0" w14:dir="0" w14:sx="0" w14:sy="0" w14:kx="0" w14:ky="0" w14:algn="none">
          <w14:srgbClr w14:val="000000"/>
        </w14:shadow>
      </w:rPr>
    </w:lvl>
    <w:lvl w:ilvl="2">
      <w:start w:val="1"/>
      <w:numFmt w:val="decimal"/>
      <w:suff w:val="nothing"/>
      <w:lvlText w:val="%1.%2.%3　"/>
      <w:lvlJc w:val="left"/>
      <w:pPr>
        <w:ind w:left="0" w:firstLine="0"/>
      </w:pPr>
      <w:rPr>
        <w:rFonts w:ascii="黑体" w:eastAsia="黑体" w:hAnsi="Times New Roman" w:hint="eastAsia"/>
        <w:b w:val="0"/>
        <w:i w:val="0"/>
        <w:sz w:val="21"/>
      </w:rPr>
    </w:lvl>
    <w:lvl w:ilvl="3">
      <w:start w:val="1"/>
      <w:numFmt w:val="decimal"/>
      <w:suff w:val="nothing"/>
      <w:lvlText w:val="%1.%2.%3.%4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11">
    <w:nsid w:val="2A8F7113"/>
    <w:multiLevelType w:val="multilevel"/>
    <w:tmpl w:val="2A8F7113"/>
    <w:lvl w:ilvl="0">
      <w:start w:val="1"/>
      <w:numFmt w:val="upperLetter"/>
      <w:pStyle w:val="a9"/>
      <w:suff w:val="space"/>
      <w:lvlText w:val="%1"/>
      <w:lvlJc w:val="left"/>
      <w:pPr>
        <w:ind w:left="623" w:hanging="425"/>
      </w:pPr>
      <w:rPr>
        <w:rFonts w:hint="eastAsia"/>
      </w:rPr>
    </w:lvl>
    <w:lvl w:ilvl="1">
      <w:start w:val="1"/>
      <w:numFmt w:val="decimal"/>
      <w:pStyle w:val="aa"/>
      <w:suff w:val="nothing"/>
      <w:lvlText w:val="图%1.%2　"/>
      <w:lvlJc w:val="left"/>
      <w:pPr>
        <w:ind w:left="1190" w:hanging="567"/>
      </w:pPr>
      <w:rPr>
        <w:rFonts w:hint="eastAsia"/>
      </w:rPr>
    </w:lvl>
    <w:lvl w:ilvl="2">
      <w:start w:val="1"/>
      <w:numFmt w:val="decimal"/>
      <w:lvlText w:val="%1.%2.%3"/>
      <w:lvlJc w:val="left"/>
      <w:pPr>
        <w:tabs>
          <w:tab w:val="left" w:pos="1616"/>
        </w:tabs>
        <w:ind w:left="1616" w:hanging="567"/>
      </w:pPr>
      <w:rPr>
        <w:rFonts w:hint="eastAsia"/>
      </w:rPr>
    </w:lvl>
    <w:lvl w:ilvl="3">
      <w:start w:val="1"/>
      <w:numFmt w:val="decimal"/>
      <w:lvlText w:val="%1.%2.%3.%4"/>
      <w:lvlJc w:val="left"/>
      <w:pPr>
        <w:tabs>
          <w:tab w:val="left" w:pos="2914"/>
        </w:tabs>
        <w:ind w:left="2182" w:hanging="708"/>
      </w:pPr>
      <w:rPr>
        <w:rFonts w:hint="eastAsia"/>
      </w:rPr>
    </w:lvl>
    <w:lvl w:ilvl="4">
      <w:start w:val="1"/>
      <w:numFmt w:val="decimal"/>
      <w:lvlText w:val="%1.%2.%3.%4.%5"/>
      <w:lvlJc w:val="left"/>
      <w:pPr>
        <w:tabs>
          <w:tab w:val="left" w:pos="3699"/>
        </w:tabs>
        <w:ind w:left="2749" w:hanging="850"/>
      </w:pPr>
      <w:rPr>
        <w:rFonts w:hint="eastAsia"/>
      </w:rPr>
    </w:lvl>
    <w:lvl w:ilvl="5">
      <w:start w:val="1"/>
      <w:numFmt w:val="decimal"/>
      <w:lvlText w:val="%1.%2.%3.%4.%5.%6"/>
      <w:lvlJc w:val="left"/>
      <w:pPr>
        <w:tabs>
          <w:tab w:val="left" w:pos="4484"/>
        </w:tabs>
        <w:ind w:left="3458" w:hanging="1134"/>
      </w:pPr>
      <w:rPr>
        <w:rFonts w:hint="eastAsia"/>
      </w:rPr>
    </w:lvl>
    <w:lvl w:ilvl="6">
      <w:start w:val="1"/>
      <w:numFmt w:val="decimal"/>
      <w:lvlText w:val="%1.%2.%3.%4.%5.%6.%7"/>
      <w:lvlJc w:val="left"/>
      <w:pPr>
        <w:tabs>
          <w:tab w:val="left" w:pos="5269"/>
        </w:tabs>
        <w:ind w:left="4025" w:hanging="1276"/>
      </w:pPr>
      <w:rPr>
        <w:rFonts w:hint="eastAsia"/>
      </w:rPr>
    </w:lvl>
    <w:lvl w:ilvl="7">
      <w:start w:val="1"/>
      <w:numFmt w:val="decimal"/>
      <w:lvlText w:val="%1.%2.%3.%4.%5.%6.%7.%8"/>
      <w:lvlJc w:val="left"/>
      <w:pPr>
        <w:tabs>
          <w:tab w:val="left" w:pos="6054"/>
        </w:tabs>
        <w:ind w:left="4592" w:hanging="1418"/>
      </w:pPr>
      <w:rPr>
        <w:rFonts w:hint="eastAsia"/>
      </w:rPr>
    </w:lvl>
    <w:lvl w:ilvl="8">
      <w:start w:val="1"/>
      <w:numFmt w:val="decimal"/>
      <w:lvlText w:val="%1.%2.%3.%4.%5.%6.%7.%8.%9"/>
      <w:lvlJc w:val="left"/>
      <w:pPr>
        <w:tabs>
          <w:tab w:val="left" w:pos="6840"/>
        </w:tabs>
        <w:ind w:left="5300" w:hanging="1700"/>
      </w:pPr>
      <w:rPr>
        <w:rFonts w:hint="eastAsia"/>
      </w:rPr>
    </w:lvl>
  </w:abstractNum>
  <w:abstractNum w:abstractNumId="12">
    <w:nsid w:val="34FD0FF7"/>
    <w:multiLevelType w:val="multilevel"/>
    <w:tmpl w:val="34FD0FF7"/>
    <w:lvl w:ilvl="0">
      <w:start w:val="1"/>
      <w:numFmt w:val="none"/>
      <w:suff w:val="nothing"/>
      <w:lvlText w:val="%1"/>
      <w:lvlJc w:val="left"/>
      <w:pPr>
        <w:ind w:left="0" w:firstLine="0"/>
      </w:pPr>
    </w:lvl>
    <w:lvl w:ilvl="1">
      <w:start w:val="1"/>
      <w:numFmt w:val="decimal"/>
      <w:suff w:val="nothing"/>
      <w:lvlText w:val="%1%2　"/>
      <w:lvlJc w:val="left"/>
      <w:pPr>
        <w:ind w:left="0" w:firstLine="0"/>
      </w:pPr>
      <w:rPr>
        <w:rFonts w:ascii="黑体" w:eastAsia="黑体" w:hAnsi="Times New Roman" w:cs="黑体" w:hint="eastAsia"/>
        <w:b w:val="0"/>
        <w:i w:val="0"/>
        <w:sz w:val="21"/>
      </w:rPr>
    </w:lvl>
    <w:lvl w:ilvl="2">
      <w:start w:val="1"/>
      <w:numFmt w:val="decimal"/>
      <w:suff w:val="nothing"/>
      <w:lvlText w:val="%1%2.%3　"/>
      <w:lvlJc w:val="left"/>
      <w:pPr>
        <w:ind w:left="0" w:firstLine="0"/>
        <w:textAlignment w:val="baseline"/>
      </w:pPr>
      <w:rPr>
        <w:rFonts w:ascii="黑体" w:eastAsia="黑体" w:hAnsi="Times New Roman" w:cs="Times New Roman" w:hint="eastAsia"/>
        <w:b w:val="0"/>
        <w:bCs w:val="0"/>
        <w:i w:val="0"/>
        <w:iCs w:val="0"/>
        <w:caps w:val="0"/>
        <w:strike w:val="0"/>
        <w:dstrike w:val="0"/>
        <w:vanish w:val="0"/>
        <w:color w:val="000000"/>
        <w:spacing w:val="0"/>
        <w:kern w:val="0"/>
        <w:position w:val="0"/>
        <w:sz w:val="21"/>
        <w:u w:val="none"/>
      </w:rPr>
    </w:lvl>
    <w:lvl w:ilvl="3">
      <w:start w:val="1"/>
      <w:numFmt w:val="decimal"/>
      <w:pStyle w:val="ab"/>
      <w:suff w:val="nothing"/>
      <w:lvlText w:val="%1%2.%3.%4　"/>
      <w:lvlJc w:val="left"/>
      <w:pPr>
        <w:ind w:left="0" w:firstLine="0"/>
      </w:pPr>
      <w:rPr>
        <w:rFonts w:ascii="黑体" w:eastAsia="黑体" w:hAnsi="Times New Roman" w:cs="黑体" w:hint="eastAsia"/>
        <w:b w:val="0"/>
        <w:i w:val="0"/>
        <w:sz w:val="21"/>
      </w:rPr>
    </w:lvl>
    <w:lvl w:ilvl="4">
      <w:start w:val="1"/>
      <w:numFmt w:val="decimal"/>
      <w:suff w:val="nothing"/>
      <w:lvlText w:val="%1%2.%3.%4.%5　"/>
      <w:lvlJc w:val="left"/>
      <w:pPr>
        <w:ind w:left="0" w:firstLine="0"/>
      </w:pPr>
      <w:rPr>
        <w:rFonts w:ascii="黑体" w:eastAsia="黑体" w:hAnsi="Times New Roman" w:cs="黑体" w:hint="eastAsia"/>
        <w:b w:val="0"/>
        <w:i w:val="0"/>
        <w:sz w:val="21"/>
      </w:rPr>
    </w:lvl>
    <w:lvl w:ilvl="5">
      <w:start w:val="1"/>
      <w:numFmt w:val="decimal"/>
      <w:suff w:val="nothing"/>
      <w:lvlText w:val="%1%2.%3.%4.%5.%6　"/>
      <w:lvlJc w:val="left"/>
      <w:pPr>
        <w:ind w:left="0" w:firstLine="0"/>
      </w:pPr>
      <w:rPr>
        <w:rFonts w:ascii="黑体" w:eastAsia="黑体" w:hAnsi="Times New Roman" w:cs="黑体" w:hint="eastAsia"/>
        <w:b w:val="0"/>
        <w:i w:val="0"/>
        <w:sz w:val="21"/>
      </w:rPr>
    </w:lvl>
    <w:lvl w:ilvl="6">
      <w:start w:val="1"/>
      <w:numFmt w:val="decimal"/>
      <w:suff w:val="nothing"/>
      <w:lvlText w:val="%1%2.%3.%4.%5.%6.%7　"/>
      <w:lvlJc w:val="left"/>
      <w:pPr>
        <w:ind w:left="0" w:firstLine="0"/>
      </w:pPr>
      <w:rPr>
        <w:rFonts w:ascii="黑体" w:eastAsia="黑体" w:hAnsi="Times New Roman" w:cs="黑体" w:hint="eastAsia"/>
        <w:b w:val="0"/>
        <w:i w:val="0"/>
        <w:sz w:val="21"/>
      </w:rPr>
    </w:lvl>
    <w:lvl w:ilvl="7">
      <w:start w:val="1"/>
      <w:numFmt w:val="decimal"/>
      <w:lvlText w:val="%1.%2.%3.%4.%5.%6.%7.%8"/>
      <w:lvlJc w:val="left"/>
      <w:pPr>
        <w:tabs>
          <w:tab w:val="left" w:pos="4351"/>
        </w:tabs>
        <w:ind w:left="3972" w:hanging="1418"/>
      </w:pPr>
    </w:lvl>
    <w:lvl w:ilvl="8">
      <w:start w:val="1"/>
      <w:numFmt w:val="decimal"/>
      <w:lvlText w:val="%1.%2.%3.%4.%5.%6.%7.%8.%9"/>
      <w:lvlJc w:val="left"/>
      <w:pPr>
        <w:tabs>
          <w:tab w:val="left" w:pos="4777"/>
        </w:tabs>
        <w:ind w:left="4677" w:hanging="1700"/>
      </w:pPr>
    </w:lvl>
  </w:abstractNum>
  <w:abstractNum w:abstractNumId="13">
    <w:nsid w:val="520650BC"/>
    <w:multiLevelType w:val="singleLevel"/>
    <w:tmpl w:val="520650BC"/>
    <w:lvl w:ilvl="0">
      <w:start w:val="1"/>
      <w:numFmt w:val="decimal"/>
      <w:suff w:val="nothing"/>
      <w:lvlText w:val="%1、"/>
      <w:lvlJc w:val="left"/>
    </w:lvl>
  </w:abstractNum>
  <w:abstractNum w:abstractNumId="14">
    <w:nsid w:val="557C2AF5"/>
    <w:multiLevelType w:val="multilevel"/>
    <w:tmpl w:val="557C2AF5"/>
    <w:lvl w:ilvl="0">
      <w:start w:val="1"/>
      <w:numFmt w:val="decimal"/>
      <w:pStyle w:val="ac"/>
      <w:suff w:val="nothing"/>
      <w:lvlText w:val="图%1　"/>
      <w:lvlJc w:val="left"/>
      <w:pPr>
        <w:ind w:left="0" w:firstLine="0"/>
      </w:pPr>
      <w:rPr>
        <w:rFonts w:ascii="黑体" w:eastAsia="黑体" w:hAnsi="Times New Roman" w:hint="eastAsia"/>
        <w:b w:val="0"/>
        <w:i w:val="0"/>
        <w:sz w:val="21"/>
      </w:rPr>
    </w:lvl>
    <w:lvl w:ilvl="1">
      <w:start w:val="1"/>
      <w:numFmt w:val="decimal"/>
      <w:suff w:val="nothing"/>
      <w:lvlText w:val="%1%2　"/>
      <w:lvlJc w:val="left"/>
      <w:pPr>
        <w:ind w:left="0" w:firstLine="0"/>
      </w:pPr>
      <w:rPr>
        <w:rFonts w:ascii="Times New Roman" w:eastAsia="黑体" w:hAnsi="Times New Roman" w:hint="default"/>
        <w:b w:val="0"/>
        <w:i w:val="0"/>
        <w:sz w:val="21"/>
      </w:rPr>
    </w:lvl>
    <w:lvl w:ilvl="2">
      <w:start w:val="1"/>
      <w:numFmt w:val="decimal"/>
      <w:suff w:val="nothing"/>
      <w:lvlText w:val="%1%2.%3　"/>
      <w:lvlJc w:val="left"/>
      <w:pPr>
        <w:ind w:left="0" w:firstLine="0"/>
      </w:pPr>
      <w:rPr>
        <w:rFonts w:ascii="Times New Roman" w:eastAsia="黑体" w:hAnsi="Times New Roman" w:hint="default"/>
        <w:b w:val="0"/>
        <w:i w:val="0"/>
        <w:sz w:val="21"/>
      </w:rPr>
    </w:lvl>
    <w:lvl w:ilvl="3">
      <w:start w:val="1"/>
      <w:numFmt w:val="decimal"/>
      <w:suff w:val="nothing"/>
      <w:lvlText w:val="%1%2.%3.%4　"/>
      <w:lvlJc w:val="left"/>
      <w:pPr>
        <w:ind w:left="0" w:firstLine="0"/>
      </w:pPr>
      <w:rPr>
        <w:rFonts w:ascii="Times New Roman" w:eastAsia="黑体" w:hAnsi="Times New Roman" w:hint="default"/>
        <w:b w:val="0"/>
        <w:i w:val="0"/>
        <w:sz w:val="21"/>
      </w:rPr>
    </w:lvl>
    <w:lvl w:ilvl="4">
      <w:start w:val="1"/>
      <w:numFmt w:val="decimal"/>
      <w:suff w:val="nothing"/>
      <w:lvlText w:val="%1%2.%3.%4.%5　"/>
      <w:lvlJc w:val="left"/>
      <w:pPr>
        <w:ind w:left="0" w:firstLine="0"/>
      </w:pPr>
      <w:rPr>
        <w:rFonts w:ascii="Times New Roman" w:eastAsia="黑体" w:hAnsi="Times New Roman" w:hint="default"/>
        <w:b w:val="0"/>
        <w:i w:val="0"/>
        <w:sz w:val="21"/>
      </w:rPr>
    </w:lvl>
    <w:lvl w:ilvl="5">
      <w:start w:val="1"/>
      <w:numFmt w:val="decimal"/>
      <w:suff w:val="nothing"/>
      <w:lvlText w:val="%1%2.%3.%4.%5.%6　"/>
      <w:lvlJc w:val="left"/>
      <w:pPr>
        <w:ind w:left="0" w:firstLine="0"/>
      </w:pPr>
      <w:rPr>
        <w:rFonts w:ascii="Times New Roman" w:eastAsia="黑体" w:hAnsi="Times New Roman" w:hint="default"/>
        <w:b w:val="0"/>
        <w:i w:val="0"/>
        <w:sz w:val="21"/>
      </w:rPr>
    </w:lvl>
    <w:lvl w:ilvl="6">
      <w:start w:val="1"/>
      <w:numFmt w:val="decimal"/>
      <w:suff w:val="nothing"/>
      <w:lvlText w:val="%1%2.%3.%4.%5.%6.%7　"/>
      <w:lvlJc w:val="left"/>
      <w:pPr>
        <w:ind w:left="0" w:firstLine="0"/>
      </w:pPr>
      <w:rPr>
        <w:rFonts w:ascii="Times New Roman" w:eastAsia="黑体" w:hAnsi="Times New Roman" w:hint="default"/>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15">
    <w:nsid w:val="5B36EB98"/>
    <w:multiLevelType w:val="multilevel"/>
    <w:tmpl w:val="5B36EB98"/>
    <w:lvl w:ilvl="0">
      <w:start w:val="1"/>
      <w:numFmt w:val="none"/>
      <w:pStyle w:val="ad"/>
      <w:lvlText w:val="%1——"/>
      <w:lvlJc w:val="left"/>
      <w:pPr>
        <w:tabs>
          <w:tab w:val="left" w:pos="851"/>
        </w:tabs>
        <w:ind w:left="851" w:hanging="426"/>
      </w:pPr>
      <w:rPr>
        <w:rFonts w:ascii="宋体" w:eastAsia="宋体" w:hAnsi="Times New Roman" w:cs="宋体" w:hint="eastAsia"/>
        <w:b w:val="0"/>
        <w:i w:val="0"/>
        <w:sz w:val="21"/>
      </w:rPr>
    </w:lvl>
    <w:lvl w:ilvl="1">
      <w:start w:val="1"/>
      <w:numFmt w:val="none"/>
      <w:lvlText w:val=""/>
      <w:lvlJc w:val="left"/>
      <w:pPr>
        <w:ind w:left="851" w:hanging="431"/>
      </w:pPr>
      <w:rPr>
        <w:rFonts w:ascii="Symbol" w:hAnsi="Symbol" w:cs="Symbol"/>
        <w:sz w:val="21"/>
      </w:rPr>
    </w:lvl>
    <w:lvl w:ilvl="2">
      <w:start w:val="1"/>
      <w:numFmt w:val="bullet"/>
      <w:lvlText w:val=""/>
      <w:lvlJc w:val="left"/>
      <w:pPr>
        <w:ind w:left="851" w:hanging="426"/>
      </w:pPr>
      <w:rPr>
        <w:rFonts w:ascii="Wingdings" w:hAnsi="Wingdings" w:cs="Wingdings" w:hint="default"/>
        <w:sz w:val="21"/>
      </w:rPr>
    </w:lvl>
    <w:lvl w:ilvl="3">
      <w:start w:val="1"/>
      <w:numFmt w:val="decimal"/>
      <w:lvlText w:val="%4."/>
      <w:lvlJc w:val="left"/>
      <w:pPr>
        <w:tabs>
          <w:tab w:val="left" w:pos="2071"/>
        </w:tabs>
        <w:ind w:left="1884" w:hanging="528"/>
      </w:pPr>
    </w:lvl>
    <w:lvl w:ilvl="4">
      <w:start w:val="1"/>
      <w:numFmt w:val="lowerLetter"/>
      <w:lvlText w:val="%5)"/>
      <w:lvlJc w:val="left"/>
      <w:pPr>
        <w:tabs>
          <w:tab w:val="left" w:pos="2383"/>
        </w:tabs>
        <w:ind w:left="2196" w:hanging="528"/>
      </w:pPr>
    </w:lvl>
    <w:lvl w:ilvl="5">
      <w:start w:val="1"/>
      <w:numFmt w:val="lowerRoman"/>
      <w:lvlText w:val="%6."/>
      <w:lvlJc w:val="right"/>
      <w:pPr>
        <w:tabs>
          <w:tab w:val="left" w:pos="2695"/>
        </w:tabs>
        <w:ind w:left="2508" w:hanging="528"/>
      </w:pPr>
    </w:lvl>
    <w:lvl w:ilvl="6">
      <w:start w:val="1"/>
      <w:numFmt w:val="decimal"/>
      <w:lvlText w:val="%7."/>
      <w:lvlJc w:val="left"/>
      <w:pPr>
        <w:tabs>
          <w:tab w:val="left" w:pos="3007"/>
        </w:tabs>
        <w:ind w:left="2820" w:hanging="528"/>
      </w:pPr>
    </w:lvl>
    <w:lvl w:ilvl="7">
      <w:start w:val="1"/>
      <w:numFmt w:val="lowerLetter"/>
      <w:lvlText w:val="%8)"/>
      <w:lvlJc w:val="left"/>
      <w:pPr>
        <w:tabs>
          <w:tab w:val="left" w:pos="3319"/>
        </w:tabs>
        <w:ind w:left="3132" w:hanging="528"/>
      </w:pPr>
    </w:lvl>
    <w:lvl w:ilvl="8">
      <w:start w:val="1"/>
      <w:numFmt w:val="lowerRoman"/>
      <w:lvlText w:val="%9."/>
      <w:lvlJc w:val="right"/>
      <w:pPr>
        <w:tabs>
          <w:tab w:val="left" w:pos="3631"/>
        </w:tabs>
        <w:ind w:left="3444" w:hanging="528"/>
      </w:pPr>
    </w:lvl>
  </w:abstractNum>
  <w:abstractNum w:abstractNumId="16">
    <w:nsid w:val="60B55DC2"/>
    <w:multiLevelType w:val="multilevel"/>
    <w:tmpl w:val="60B55DC2"/>
    <w:lvl w:ilvl="0">
      <w:start w:val="1"/>
      <w:numFmt w:val="upperLetter"/>
      <w:lvlText w:val="%1"/>
      <w:lvlJc w:val="left"/>
      <w:pPr>
        <w:tabs>
          <w:tab w:val="left" w:pos="0"/>
        </w:tabs>
        <w:ind w:left="0" w:hanging="425"/>
      </w:pPr>
      <w:rPr>
        <w:rFonts w:hint="eastAsia"/>
      </w:rPr>
    </w:lvl>
    <w:lvl w:ilvl="1">
      <w:start w:val="1"/>
      <w:numFmt w:val="decimal"/>
      <w:pStyle w:val="ae"/>
      <w:suff w:val="nothing"/>
      <w:lvlText w:val="表%1.%2　"/>
      <w:lvlJc w:val="left"/>
      <w:pPr>
        <w:ind w:left="567" w:hanging="567"/>
      </w:pPr>
      <w:rPr>
        <w:rFonts w:hint="eastAsia"/>
      </w:rPr>
    </w:lvl>
    <w:lvl w:ilvl="2">
      <w:start w:val="1"/>
      <w:numFmt w:val="decimal"/>
      <w:lvlText w:val="%1.%2.%3"/>
      <w:lvlJc w:val="left"/>
      <w:pPr>
        <w:tabs>
          <w:tab w:val="left" w:pos="993"/>
        </w:tabs>
        <w:ind w:left="993" w:hanging="567"/>
      </w:pPr>
      <w:rPr>
        <w:rFonts w:hint="eastAsia"/>
      </w:rPr>
    </w:lvl>
    <w:lvl w:ilvl="3">
      <w:start w:val="1"/>
      <w:numFmt w:val="decimal"/>
      <w:lvlText w:val="%1.%2.%3.%4"/>
      <w:lvlJc w:val="left"/>
      <w:pPr>
        <w:tabs>
          <w:tab w:val="left" w:pos="2291"/>
        </w:tabs>
        <w:ind w:left="1559" w:hanging="708"/>
      </w:pPr>
      <w:rPr>
        <w:rFonts w:hint="eastAsia"/>
      </w:rPr>
    </w:lvl>
    <w:lvl w:ilvl="4">
      <w:start w:val="1"/>
      <w:numFmt w:val="decimal"/>
      <w:lvlText w:val="%1.%2.%3.%4.%5"/>
      <w:lvlJc w:val="left"/>
      <w:pPr>
        <w:tabs>
          <w:tab w:val="left" w:pos="3076"/>
        </w:tabs>
        <w:ind w:left="2126" w:hanging="850"/>
      </w:pPr>
      <w:rPr>
        <w:rFonts w:hint="eastAsia"/>
      </w:rPr>
    </w:lvl>
    <w:lvl w:ilvl="5">
      <w:start w:val="1"/>
      <w:numFmt w:val="decimal"/>
      <w:lvlText w:val="%1.%2.%3.%4.%5.%6"/>
      <w:lvlJc w:val="left"/>
      <w:pPr>
        <w:tabs>
          <w:tab w:val="left" w:pos="3861"/>
        </w:tabs>
        <w:ind w:left="2835" w:hanging="1134"/>
      </w:pPr>
      <w:rPr>
        <w:rFonts w:hint="eastAsia"/>
      </w:rPr>
    </w:lvl>
    <w:lvl w:ilvl="6">
      <w:start w:val="1"/>
      <w:numFmt w:val="decimal"/>
      <w:lvlText w:val="%1.%2.%3.%4.%5.%6.%7"/>
      <w:lvlJc w:val="left"/>
      <w:pPr>
        <w:tabs>
          <w:tab w:val="left" w:pos="4646"/>
        </w:tabs>
        <w:ind w:left="3402" w:hanging="1276"/>
      </w:pPr>
      <w:rPr>
        <w:rFonts w:hint="eastAsia"/>
      </w:rPr>
    </w:lvl>
    <w:lvl w:ilvl="7">
      <w:start w:val="1"/>
      <w:numFmt w:val="decimal"/>
      <w:lvlText w:val="%1.%2.%3.%4.%5.%6.%7.%8"/>
      <w:lvlJc w:val="left"/>
      <w:pPr>
        <w:tabs>
          <w:tab w:val="left" w:pos="5431"/>
        </w:tabs>
        <w:ind w:left="3969" w:hanging="1418"/>
      </w:pPr>
      <w:rPr>
        <w:rFonts w:hint="eastAsia"/>
      </w:rPr>
    </w:lvl>
    <w:lvl w:ilvl="8">
      <w:start w:val="1"/>
      <w:numFmt w:val="decimal"/>
      <w:lvlText w:val="%1.%2.%3.%4.%5.%6.%7.%8.%9"/>
      <w:lvlJc w:val="left"/>
      <w:pPr>
        <w:tabs>
          <w:tab w:val="left" w:pos="6217"/>
        </w:tabs>
        <w:ind w:left="4677" w:hanging="1700"/>
      </w:pPr>
      <w:rPr>
        <w:rFonts w:hint="eastAsia"/>
      </w:rPr>
    </w:lvl>
  </w:abstractNum>
  <w:abstractNum w:abstractNumId="17">
    <w:nsid w:val="646260FA"/>
    <w:multiLevelType w:val="multilevel"/>
    <w:tmpl w:val="646260FA"/>
    <w:lvl w:ilvl="0">
      <w:start w:val="1"/>
      <w:numFmt w:val="decimal"/>
      <w:pStyle w:val="af"/>
      <w:suff w:val="nothing"/>
      <w:lvlText w:val="表%1　"/>
      <w:lvlJc w:val="left"/>
      <w:pPr>
        <w:ind w:left="0" w:firstLine="0"/>
      </w:pPr>
      <w:rPr>
        <w:rFonts w:ascii="黑体" w:eastAsia="黑体" w:hAnsi="Times New Roman" w:hint="eastAsia"/>
        <w:b w:val="0"/>
        <w:i w:val="0"/>
        <w:sz w:val="21"/>
      </w:rPr>
    </w:lvl>
    <w:lvl w:ilvl="1">
      <w:start w:val="1"/>
      <w:numFmt w:val="decimal"/>
      <w:lvlText w:val="%1.%2"/>
      <w:lvlJc w:val="left"/>
      <w:pPr>
        <w:tabs>
          <w:tab w:val="left" w:pos="992"/>
        </w:tabs>
        <w:ind w:left="992" w:hanging="567"/>
      </w:pPr>
      <w:rPr>
        <w:rFonts w:hint="eastAsia"/>
      </w:rPr>
    </w:lvl>
    <w:lvl w:ilvl="2">
      <w:start w:val="1"/>
      <w:numFmt w:val="decimal"/>
      <w:lvlText w:val="%1.%2.%3"/>
      <w:lvlJc w:val="left"/>
      <w:pPr>
        <w:tabs>
          <w:tab w:val="left" w:pos="1418"/>
        </w:tabs>
        <w:ind w:left="1418" w:hanging="567"/>
      </w:pPr>
      <w:rPr>
        <w:rFonts w:hint="eastAsia"/>
      </w:rPr>
    </w:lvl>
    <w:lvl w:ilvl="3">
      <w:start w:val="1"/>
      <w:numFmt w:val="decimal"/>
      <w:lvlText w:val="%1.%2.%3.%4"/>
      <w:lvlJc w:val="left"/>
      <w:pPr>
        <w:tabs>
          <w:tab w:val="left" w:pos="1984"/>
        </w:tabs>
        <w:ind w:left="1984" w:hanging="708"/>
      </w:pPr>
      <w:rPr>
        <w:rFonts w:hint="eastAsia"/>
      </w:rPr>
    </w:lvl>
    <w:lvl w:ilvl="4">
      <w:start w:val="1"/>
      <w:numFmt w:val="decimal"/>
      <w:lvlText w:val="%1.%2.%3.%4.%5"/>
      <w:lvlJc w:val="left"/>
      <w:pPr>
        <w:tabs>
          <w:tab w:val="left" w:pos="2551"/>
        </w:tabs>
        <w:ind w:left="2551" w:hanging="850"/>
      </w:pPr>
      <w:rPr>
        <w:rFonts w:hint="eastAsia"/>
      </w:rPr>
    </w:lvl>
    <w:lvl w:ilvl="5">
      <w:start w:val="1"/>
      <w:numFmt w:val="decimal"/>
      <w:lvlText w:val="%1.%2.%3.%4.%5.%6"/>
      <w:lvlJc w:val="left"/>
      <w:pPr>
        <w:tabs>
          <w:tab w:val="left" w:pos="3260"/>
        </w:tabs>
        <w:ind w:left="3260" w:hanging="1134"/>
      </w:pPr>
      <w:rPr>
        <w:rFonts w:hint="eastAsia"/>
      </w:rPr>
    </w:lvl>
    <w:lvl w:ilvl="6">
      <w:start w:val="1"/>
      <w:numFmt w:val="decimal"/>
      <w:lvlText w:val="%1.%2.%3.%4.%5.%6.%7"/>
      <w:lvlJc w:val="left"/>
      <w:pPr>
        <w:tabs>
          <w:tab w:val="left" w:pos="3827"/>
        </w:tabs>
        <w:ind w:left="3827" w:hanging="1276"/>
      </w:pPr>
      <w:rPr>
        <w:rFonts w:hint="eastAsia"/>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18">
    <w:nsid w:val="6CEA2025"/>
    <w:multiLevelType w:val="multilevel"/>
    <w:tmpl w:val="6CEA2025"/>
    <w:lvl w:ilvl="0">
      <w:start w:val="1"/>
      <w:numFmt w:val="none"/>
      <w:suff w:val="nothing"/>
      <w:lvlText w:val="%1"/>
      <w:lvlJc w:val="left"/>
      <w:pPr>
        <w:ind w:left="0" w:firstLine="0"/>
      </w:pPr>
      <w:rPr>
        <w:rFonts w:hint="eastAsia"/>
      </w:rPr>
    </w:lvl>
    <w:lvl w:ilvl="1">
      <w:start w:val="1"/>
      <w:numFmt w:val="decimal"/>
      <w:pStyle w:val="af0"/>
      <w:suff w:val="nothing"/>
      <w:lvlText w:val="%1%2　"/>
      <w:lvlJc w:val="left"/>
      <w:pPr>
        <w:ind w:left="0" w:firstLine="0"/>
      </w:pPr>
      <w:rPr>
        <w:rFonts w:ascii="黑体" w:eastAsia="黑体" w:hint="eastAsia"/>
        <w:b w:val="0"/>
        <w:i w:val="0"/>
        <w:sz w:val="21"/>
      </w:rPr>
    </w:lvl>
    <w:lvl w:ilvl="2">
      <w:start w:val="1"/>
      <w:numFmt w:val="decimal"/>
      <w:pStyle w:val="af1"/>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vertAlign w:val="baseline"/>
      </w:rPr>
    </w:lvl>
    <w:lvl w:ilvl="3">
      <w:start w:val="1"/>
      <w:numFmt w:val="decimal"/>
      <w:suff w:val="nothing"/>
      <w:lvlText w:val="%1%2.%3.%4　"/>
      <w:lvlJc w:val="left"/>
      <w:pPr>
        <w:ind w:left="0" w:firstLine="0"/>
      </w:pPr>
      <w:rPr>
        <w:rFonts w:ascii="黑体" w:eastAsia="黑体" w:hint="eastAsia"/>
        <w:b w:val="0"/>
        <w:i w:val="0"/>
        <w:sz w:val="21"/>
      </w:rPr>
    </w:lvl>
    <w:lvl w:ilvl="4">
      <w:start w:val="1"/>
      <w:numFmt w:val="decimal"/>
      <w:suff w:val="nothing"/>
      <w:lvlText w:val="%1%2.%3.%4.%5　"/>
      <w:lvlJc w:val="left"/>
      <w:pPr>
        <w:ind w:left="0" w:firstLine="0"/>
      </w:pPr>
      <w:rPr>
        <w:rFonts w:ascii="黑体" w:eastAsia="黑体" w:hint="eastAsia"/>
        <w:b w:val="0"/>
        <w:i w:val="0"/>
        <w:sz w:val="21"/>
      </w:rPr>
    </w:lvl>
    <w:lvl w:ilvl="5">
      <w:start w:val="1"/>
      <w:numFmt w:val="decimal"/>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num w:numId="1">
    <w:abstractNumId w:val="17"/>
  </w:num>
  <w:num w:numId="2">
    <w:abstractNumId w:val="14"/>
  </w:num>
  <w:num w:numId="3">
    <w:abstractNumId w:val="10"/>
  </w:num>
  <w:num w:numId="4">
    <w:abstractNumId w:val="6"/>
  </w:num>
  <w:num w:numId="5">
    <w:abstractNumId w:val="11"/>
  </w:num>
  <w:num w:numId="6">
    <w:abstractNumId w:val="9"/>
  </w:num>
  <w:num w:numId="7">
    <w:abstractNumId w:val="7"/>
  </w:num>
  <w:num w:numId="8">
    <w:abstractNumId w:val="16"/>
  </w:num>
  <w:num w:numId="9">
    <w:abstractNumId w:val="5"/>
  </w:num>
  <w:num w:numId="10">
    <w:abstractNumId w:val="18"/>
  </w:num>
  <w:num w:numId="11">
    <w:abstractNumId w:val="12"/>
  </w:num>
  <w:num w:numId="12">
    <w:abstractNumId w:val="15"/>
  </w:num>
  <w:num w:numId="13">
    <w:abstractNumId w:val="3"/>
  </w:num>
  <w:num w:numId="14">
    <w:abstractNumId w:val="8"/>
  </w:num>
  <w:num w:numId="15">
    <w:abstractNumId w:val="2"/>
  </w:num>
  <w:num w:numId="16">
    <w:abstractNumId w:val="4"/>
  </w:num>
  <w:num w:numId="17">
    <w:abstractNumId w:val="0"/>
  </w:num>
  <w:num w:numId="18">
    <w:abstractNumId w:val="1"/>
  </w:num>
  <w:num w:numId="19">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TrueTypeFonts/>
  <w:saveSubset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HorizontalSpacing w:val="105"/>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2062E"/>
    <w:rsid w:val="BDF63E3D"/>
    <w:rsid w:val="CB7C5BFC"/>
    <w:rsid w:val="DF3A5D3C"/>
    <w:rsid w:val="EEE3C452"/>
    <w:rsid w:val="EEF751F1"/>
    <w:rsid w:val="F57963B0"/>
    <w:rsid w:val="F9DB69FD"/>
    <w:rsid w:val="FF7E6780"/>
    <w:rsid w:val="FF7F5C5C"/>
    <w:rsid w:val="FFFEF4CD"/>
    <w:rsid w:val="0000457E"/>
    <w:rsid w:val="00005CA4"/>
    <w:rsid w:val="000107BC"/>
    <w:rsid w:val="00013090"/>
    <w:rsid w:val="00016837"/>
    <w:rsid w:val="00021331"/>
    <w:rsid w:val="00022461"/>
    <w:rsid w:val="00023119"/>
    <w:rsid w:val="00023FE2"/>
    <w:rsid w:val="00024212"/>
    <w:rsid w:val="00024664"/>
    <w:rsid w:val="00030E14"/>
    <w:rsid w:val="00032CD6"/>
    <w:rsid w:val="00033257"/>
    <w:rsid w:val="00034233"/>
    <w:rsid w:val="00034BDB"/>
    <w:rsid w:val="00047D7B"/>
    <w:rsid w:val="00053B0B"/>
    <w:rsid w:val="00056C7D"/>
    <w:rsid w:val="000576D0"/>
    <w:rsid w:val="00057758"/>
    <w:rsid w:val="00060FE2"/>
    <w:rsid w:val="00061828"/>
    <w:rsid w:val="00070C25"/>
    <w:rsid w:val="0007330D"/>
    <w:rsid w:val="00073F72"/>
    <w:rsid w:val="00074EB1"/>
    <w:rsid w:val="00076BBA"/>
    <w:rsid w:val="00080F2F"/>
    <w:rsid w:val="0008145A"/>
    <w:rsid w:val="00082C39"/>
    <w:rsid w:val="000867E8"/>
    <w:rsid w:val="0009177A"/>
    <w:rsid w:val="0009191C"/>
    <w:rsid w:val="00093E74"/>
    <w:rsid w:val="000962F6"/>
    <w:rsid w:val="000A0201"/>
    <w:rsid w:val="000A1EAE"/>
    <w:rsid w:val="000A2394"/>
    <w:rsid w:val="000A3070"/>
    <w:rsid w:val="000A4601"/>
    <w:rsid w:val="000A77CD"/>
    <w:rsid w:val="000B572A"/>
    <w:rsid w:val="000C724C"/>
    <w:rsid w:val="000D0ACE"/>
    <w:rsid w:val="000D15BE"/>
    <w:rsid w:val="000D5AC8"/>
    <w:rsid w:val="000D6612"/>
    <w:rsid w:val="000D751C"/>
    <w:rsid w:val="000D7F33"/>
    <w:rsid w:val="000F10EB"/>
    <w:rsid w:val="000F3365"/>
    <w:rsid w:val="000F3B4D"/>
    <w:rsid w:val="000F517A"/>
    <w:rsid w:val="001012D5"/>
    <w:rsid w:val="00101D2E"/>
    <w:rsid w:val="00103B83"/>
    <w:rsid w:val="00105252"/>
    <w:rsid w:val="001062E3"/>
    <w:rsid w:val="00106661"/>
    <w:rsid w:val="00106876"/>
    <w:rsid w:val="0010769F"/>
    <w:rsid w:val="00110864"/>
    <w:rsid w:val="00110F43"/>
    <w:rsid w:val="00112415"/>
    <w:rsid w:val="00113B53"/>
    <w:rsid w:val="00114946"/>
    <w:rsid w:val="00117EB3"/>
    <w:rsid w:val="00122573"/>
    <w:rsid w:val="00124F56"/>
    <w:rsid w:val="00126CA6"/>
    <w:rsid w:val="001273E7"/>
    <w:rsid w:val="00127EB0"/>
    <w:rsid w:val="00131B03"/>
    <w:rsid w:val="00132C5F"/>
    <w:rsid w:val="00133786"/>
    <w:rsid w:val="00134DD4"/>
    <w:rsid w:val="00134FC2"/>
    <w:rsid w:val="001435D3"/>
    <w:rsid w:val="001449B5"/>
    <w:rsid w:val="001463AC"/>
    <w:rsid w:val="00151076"/>
    <w:rsid w:val="0015152A"/>
    <w:rsid w:val="00153B09"/>
    <w:rsid w:val="00156020"/>
    <w:rsid w:val="00156663"/>
    <w:rsid w:val="001611BB"/>
    <w:rsid w:val="0016153F"/>
    <w:rsid w:val="00164193"/>
    <w:rsid w:val="00167167"/>
    <w:rsid w:val="001708F8"/>
    <w:rsid w:val="0018112C"/>
    <w:rsid w:val="00183467"/>
    <w:rsid w:val="0018451D"/>
    <w:rsid w:val="00190A64"/>
    <w:rsid w:val="00190C6A"/>
    <w:rsid w:val="00191774"/>
    <w:rsid w:val="00191DCE"/>
    <w:rsid w:val="001923CF"/>
    <w:rsid w:val="001925FD"/>
    <w:rsid w:val="00192FF7"/>
    <w:rsid w:val="001930A1"/>
    <w:rsid w:val="00194FE3"/>
    <w:rsid w:val="00195F7F"/>
    <w:rsid w:val="00196054"/>
    <w:rsid w:val="00196961"/>
    <w:rsid w:val="00196B3D"/>
    <w:rsid w:val="0019711F"/>
    <w:rsid w:val="001A0DBF"/>
    <w:rsid w:val="001A3402"/>
    <w:rsid w:val="001A5882"/>
    <w:rsid w:val="001B0E92"/>
    <w:rsid w:val="001B36E5"/>
    <w:rsid w:val="001B3B17"/>
    <w:rsid w:val="001C5F01"/>
    <w:rsid w:val="001C793C"/>
    <w:rsid w:val="001D22F0"/>
    <w:rsid w:val="001D64DB"/>
    <w:rsid w:val="001D7816"/>
    <w:rsid w:val="001E4AF3"/>
    <w:rsid w:val="001E5000"/>
    <w:rsid w:val="001E6E39"/>
    <w:rsid w:val="001F045F"/>
    <w:rsid w:val="001F07A8"/>
    <w:rsid w:val="001F16E6"/>
    <w:rsid w:val="001F241E"/>
    <w:rsid w:val="001F537A"/>
    <w:rsid w:val="001F660A"/>
    <w:rsid w:val="001F79F5"/>
    <w:rsid w:val="001F7E35"/>
    <w:rsid w:val="00200D37"/>
    <w:rsid w:val="00204D63"/>
    <w:rsid w:val="00205603"/>
    <w:rsid w:val="00207045"/>
    <w:rsid w:val="00210916"/>
    <w:rsid w:val="002116FB"/>
    <w:rsid w:val="00213FCF"/>
    <w:rsid w:val="00214221"/>
    <w:rsid w:val="00217683"/>
    <w:rsid w:val="002223DD"/>
    <w:rsid w:val="002231E8"/>
    <w:rsid w:val="00223EB7"/>
    <w:rsid w:val="0022453A"/>
    <w:rsid w:val="00224EB8"/>
    <w:rsid w:val="0022617D"/>
    <w:rsid w:val="0022762C"/>
    <w:rsid w:val="00231E62"/>
    <w:rsid w:val="00232769"/>
    <w:rsid w:val="00233878"/>
    <w:rsid w:val="00234071"/>
    <w:rsid w:val="00242760"/>
    <w:rsid w:val="00244ADA"/>
    <w:rsid w:val="00244C0C"/>
    <w:rsid w:val="00245A55"/>
    <w:rsid w:val="002465C7"/>
    <w:rsid w:val="00251FA5"/>
    <w:rsid w:val="002526F3"/>
    <w:rsid w:val="00254F7A"/>
    <w:rsid w:val="00256FE0"/>
    <w:rsid w:val="002614C6"/>
    <w:rsid w:val="002621E1"/>
    <w:rsid w:val="00262753"/>
    <w:rsid w:val="00262771"/>
    <w:rsid w:val="00262F6C"/>
    <w:rsid w:val="00263DD4"/>
    <w:rsid w:val="00264A7D"/>
    <w:rsid w:val="00264CE4"/>
    <w:rsid w:val="002651A9"/>
    <w:rsid w:val="00266090"/>
    <w:rsid w:val="00270BF7"/>
    <w:rsid w:val="0027166C"/>
    <w:rsid w:val="0027235B"/>
    <w:rsid w:val="00276DBC"/>
    <w:rsid w:val="00277C35"/>
    <w:rsid w:val="00283085"/>
    <w:rsid w:val="00283E25"/>
    <w:rsid w:val="0029084D"/>
    <w:rsid w:val="00291D7F"/>
    <w:rsid w:val="00291EF3"/>
    <w:rsid w:val="002952AC"/>
    <w:rsid w:val="00297348"/>
    <w:rsid w:val="002A0A87"/>
    <w:rsid w:val="002A2FCF"/>
    <w:rsid w:val="002A4D06"/>
    <w:rsid w:val="002A5D80"/>
    <w:rsid w:val="002B07E3"/>
    <w:rsid w:val="002B23AB"/>
    <w:rsid w:val="002B2E35"/>
    <w:rsid w:val="002B3D69"/>
    <w:rsid w:val="002B4A9D"/>
    <w:rsid w:val="002B5497"/>
    <w:rsid w:val="002B6FE1"/>
    <w:rsid w:val="002C1D2A"/>
    <w:rsid w:val="002C4618"/>
    <w:rsid w:val="002C4FFB"/>
    <w:rsid w:val="002C5534"/>
    <w:rsid w:val="002C611B"/>
    <w:rsid w:val="002C73B6"/>
    <w:rsid w:val="002D0418"/>
    <w:rsid w:val="002D2662"/>
    <w:rsid w:val="002D49CC"/>
    <w:rsid w:val="002D6D1E"/>
    <w:rsid w:val="002E073F"/>
    <w:rsid w:val="002E6938"/>
    <w:rsid w:val="002E7467"/>
    <w:rsid w:val="002E7A35"/>
    <w:rsid w:val="002F34AA"/>
    <w:rsid w:val="002F4B59"/>
    <w:rsid w:val="002F4D7B"/>
    <w:rsid w:val="002F513F"/>
    <w:rsid w:val="002F613B"/>
    <w:rsid w:val="003025DF"/>
    <w:rsid w:val="00303E23"/>
    <w:rsid w:val="00304BFD"/>
    <w:rsid w:val="00305A7C"/>
    <w:rsid w:val="00306925"/>
    <w:rsid w:val="0031011D"/>
    <w:rsid w:val="00311AEE"/>
    <w:rsid w:val="003144B8"/>
    <w:rsid w:val="00314640"/>
    <w:rsid w:val="00320420"/>
    <w:rsid w:val="00327623"/>
    <w:rsid w:val="0033375C"/>
    <w:rsid w:val="003356CC"/>
    <w:rsid w:val="0034090F"/>
    <w:rsid w:val="003435D3"/>
    <w:rsid w:val="00343C24"/>
    <w:rsid w:val="00345BCC"/>
    <w:rsid w:val="00350218"/>
    <w:rsid w:val="00352D8D"/>
    <w:rsid w:val="00353735"/>
    <w:rsid w:val="00354D06"/>
    <w:rsid w:val="00356D19"/>
    <w:rsid w:val="00357A1D"/>
    <w:rsid w:val="00357E18"/>
    <w:rsid w:val="0036001E"/>
    <w:rsid w:val="00360952"/>
    <w:rsid w:val="003620B6"/>
    <w:rsid w:val="00362F10"/>
    <w:rsid w:val="00365252"/>
    <w:rsid w:val="00372A01"/>
    <w:rsid w:val="00372C98"/>
    <w:rsid w:val="00373BAD"/>
    <w:rsid w:val="00374390"/>
    <w:rsid w:val="003754CF"/>
    <w:rsid w:val="00381796"/>
    <w:rsid w:val="00382AB2"/>
    <w:rsid w:val="0038615C"/>
    <w:rsid w:val="00386647"/>
    <w:rsid w:val="00391984"/>
    <w:rsid w:val="00392E22"/>
    <w:rsid w:val="00396025"/>
    <w:rsid w:val="003B2F32"/>
    <w:rsid w:val="003B5050"/>
    <w:rsid w:val="003B729F"/>
    <w:rsid w:val="003C13D9"/>
    <w:rsid w:val="003C2C74"/>
    <w:rsid w:val="003C2D44"/>
    <w:rsid w:val="003C483D"/>
    <w:rsid w:val="003C6877"/>
    <w:rsid w:val="003D3AF0"/>
    <w:rsid w:val="003D48B6"/>
    <w:rsid w:val="003D51D0"/>
    <w:rsid w:val="003D5CB5"/>
    <w:rsid w:val="003D6E58"/>
    <w:rsid w:val="003E330B"/>
    <w:rsid w:val="003E4A86"/>
    <w:rsid w:val="003F064F"/>
    <w:rsid w:val="003F284D"/>
    <w:rsid w:val="003F28D0"/>
    <w:rsid w:val="003F2FF1"/>
    <w:rsid w:val="003F3119"/>
    <w:rsid w:val="003F392A"/>
    <w:rsid w:val="003F3AAC"/>
    <w:rsid w:val="003F727B"/>
    <w:rsid w:val="0040035D"/>
    <w:rsid w:val="00401A74"/>
    <w:rsid w:val="00403F64"/>
    <w:rsid w:val="00404BD1"/>
    <w:rsid w:val="004050BE"/>
    <w:rsid w:val="0040610D"/>
    <w:rsid w:val="00406A80"/>
    <w:rsid w:val="00415729"/>
    <w:rsid w:val="004158CF"/>
    <w:rsid w:val="0042062E"/>
    <w:rsid w:val="00423E24"/>
    <w:rsid w:val="00424AF1"/>
    <w:rsid w:val="00424FCB"/>
    <w:rsid w:val="00425860"/>
    <w:rsid w:val="00427B81"/>
    <w:rsid w:val="00434E46"/>
    <w:rsid w:val="00434F90"/>
    <w:rsid w:val="004378E4"/>
    <w:rsid w:val="0044118D"/>
    <w:rsid w:val="004441BD"/>
    <w:rsid w:val="004503F4"/>
    <w:rsid w:val="0045483D"/>
    <w:rsid w:val="00455661"/>
    <w:rsid w:val="0046025A"/>
    <w:rsid w:val="00460359"/>
    <w:rsid w:val="004605D8"/>
    <w:rsid w:val="004626AF"/>
    <w:rsid w:val="00462BA6"/>
    <w:rsid w:val="00465230"/>
    <w:rsid w:val="00467DEF"/>
    <w:rsid w:val="00467DFC"/>
    <w:rsid w:val="004715D8"/>
    <w:rsid w:val="00475C51"/>
    <w:rsid w:val="004805D0"/>
    <w:rsid w:val="00480BA1"/>
    <w:rsid w:val="00481328"/>
    <w:rsid w:val="004814A9"/>
    <w:rsid w:val="0048357F"/>
    <w:rsid w:val="00484EF3"/>
    <w:rsid w:val="00485212"/>
    <w:rsid w:val="004865C9"/>
    <w:rsid w:val="0049011A"/>
    <w:rsid w:val="00491FE3"/>
    <w:rsid w:val="0049241F"/>
    <w:rsid w:val="00493251"/>
    <w:rsid w:val="0049390C"/>
    <w:rsid w:val="004A25C4"/>
    <w:rsid w:val="004A2878"/>
    <w:rsid w:val="004A346E"/>
    <w:rsid w:val="004A614E"/>
    <w:rsid w:val="004A6458"/>
    <w:rsid w:val="004A660C"/>
    <w:rsid w:val="004A76AB"/>
    <w:rsid w:val="004B2E7F"/>
    <w:rsid w:val="004B31EC"/>
    <w:rsid w:val="004C4136"/>
    <w:rsid w:val="004D155D"/>
    <w:rsid w:val="004D2302"/>
    <w:rsid w:val="004D393C"/>
    <w:rsid w:val="004D5B22"/>
    <w:rsid w:val="004E1469"/>
    <w:rsid w:val="004E3026"/>
    <w:rsid w:val="004E4C4F"/>
    <w:rsid w:val="004E7681"/>
    <w:rsid w:val="004F0593"/>
    <w:rsid w:val="004F48C2"/>
    <w:rsid w:val="004F74F0"/>
    <w:rsid w:val="004F7FA9"/>
    <w:rsid w:val="005009D1"/>
    <w:rsid w:val="0050156A"/>
    <w:rsid w:val="00505469"/>
    <w:rsid w:val="005066ED"/>
    <w:rsid w:val="005067C2"/>
    <w:rsid w:val="0051028F"/>
    <w:rsid w:val="0051148B"/>
    <w:rsid w:val="00512AEC"/>
    <w:rsid w:val="00513080"/>
    <w:rsid w:val="00514C97"/>
    <w:rsid w:val="005159F5"/>
    <w:rsid w:val="00516AFA"/>
    <w:rsid w:val="005232BE"/>
    <w:rsid w:val="00526200"/>
    <w:rsid w:val="005269CF"/>
    <w:rsid w:val="00533886"/>
    <w:rsid w:val="0053418A"/>
    <w:rsid w:val="00535AC6"/>
    <w:rsid w:val="00537550"/>
    <w:rsid w:val="00541E4A"/>
    <w:rsid w:val="0054291F"/>
    <w:rsid w:val="0054317B"/>
    <w:rsid w:val="00544394"/>
    <w:rsid w:val="00546DEA"/>
    <w:rsid w:val="005500AC"/>
    <w:rsid w:val="00550145"/>
    <w:rsid w:val="0055736F"/>
    <w:rsid w:val="0056116F"/>
    <w:rsid w:val="00561E4D"/>
    <w:rsid w:val="005639F8"/>
    <w:rsid w:val="005656AA"/>
    <w:rsid w:val="00566EC7"/>
    <w:rsid w:val="005742DB"/>
    <w:rsid w:val="00577C08"/>
    <w:rsid w:val="005802BD"/>
    <w:rsid w:val="0058151C"/>
    <w:rsid w:val="00581CE7"/>
    <w:rsid w:val="00581FCC"/>
    <w:rsid w:val="00582F5C"/>
    <w:rsid w:val="0058472C"/>
    <w:rsid w:val="005870E5"/>
    <w:rsid w:val="005873D6"/>
    <w:rsid w:val="005876DE"/>
    <w:rsid w:val="0059163D"/>
    <w:rsid w:val="00593466"/>
    <w:rsid w:val="00596702"/>
    <w:rsid w:val="005977DE"/>
    <w:rsid w:val="005A1A17"/>
    <w:rsid w:val="005A4523"/>
    <w:rsid w:val="005A4707"/>
    <w:rsid w:val="005B0CDC"/>
    <w:rsid w:val="005B2261"/>
    <w:rsid w:val="005B23F7"/>
    <w:rsid w:val="005B274B"/>
    <w:rsid w:val="005B3AE2"/>
    <w:rsid w:val="005B7128"/>
    <w:rsid w:val="005B76D5"/>
    <w:rsid w:val="005B7B7E"/>
    <w:rsid w:val="005C468E"/>
    <w:rsid w:val="005D06D6"/>
    <w:rsid w:val="005D1EE1"/>
    <w:rsid w:val="005D2762"/>
    <w:rsid w:val="005D2AEE"/>
    <w:rsid w:val="005D3F96"/>
    <w:rsid w:val="005D4061"/>
    <w:rsid w:val="005D5DDF"/>
    <w:rsid w:val="005D6A5C"/>
    <w:rsid w:val="005E05D4"/>
    <w:rsid w:val="005E207A"/>
    <w:rsid w:val="005E2143"/>
    <w:rsid w:val="005F0995"/>
    <w:rsid w:val="005F1E35"/>
    <w:rsid w:val="005F36D9"/>
    <w:rsid w:val="005F470B"/>
    <w:rsid w:val="005F4CE9"/>
    <w:rsid w:val="005F4F92"/>
    <w:rsid w:val="005F6C71"/>
    <w:rsid w:val="005F71EC"/>
    <w:rsid w:val="005F7613"/>
    <w:rsid w:val="006038B2"/>
    <w:rsid w:val="006062AE"/>
    <w:rsid w:val="0060656D"/>
    <w:rsid w:val="00606B5A"/>
    <w:rsid w:val="00610884"/>
    <w:rsid w:val="00614347"/>
    <w:rsid w:val="006147DA"/>
    <w:rsid w:val="00615548"/>
    <w:rsid w:val="0062702A"/>
    <w:rsid w:val="00634CCC"/>
    <w:rsid w:val="00636DF8"/>
    <w:rsid w:val="006404F1"/>
    <w:rsid w:val="0064449B"/>
    <w:rsid w:val="00644EED"/>
    <w:rsid w:val="006467C4"/>
    <w:rsid w:val="00651C9C"/>
    <w:rsid w:val="00654D8C"/>
    <w:rsid w:val="006555D8"/>
    <w:rsid w:val="00655638"/>
    <w:rsid w:val="006610FC"/>
    <w:rsid w:val="0066440C"/>
    <w:rsid w:val="00664832"/>
    <w:rsid w:val="006670DB"/>
    <w:rsid w:val="00667C57"/>
    <w:rsid w:val="0067586A"/>
    <w:rsid w:val="00680EEB"/>
    <w:rsid w:val="006811BF"/>
    <w:rsid w:val="00681C0F"/>
    <w:rsid w:val="00682D7C"/>
    <w:rsid w:val="00682FAD"/>
    <w:rsid w:val="0068494D"/>
    <w:rsid w:val="00686086"/>
    <w:rsid w:val="00690D6C"/>
    <w:rsid w:val="006945D3"/>
    <w:rsid w:val="006A1BD7"/>
    <w:rsid w:val="006A2383"/>
    <w:rsid w:val="006A3112"/>
    <w:rsid w:val="006B1080"/>
    <w:rsid w:val="006B1E82"/>
    <w:rsid w:val="006B2092"/>
    <w:rsid w:val="006B6EA3"/>
    <w:rsid w:val="006C0CC1"/>
    <w:rsid w:val="006C5B91"/>
    <w:rsid w:val="006C6B87"/>
    <w:rsid w:val="006C70ED"/>
    <w:rsid w:val="006D0354"/>
    <w:rsid w:val="006D4B56"/>
    <w:rsid w:val="006D4CCC"/>
    <w:rsid w:val="006D50EC"/>
    <w:rsid w:val="006D5788"/>
    <w:rsid w:val="006D5D5F"/>
    <w:rsid w:val="006D63A6"/>
    <w:rsid w:val="006E155C"/>
    <w:rsid w:val="006E5609"/>
    <w:rsid w:val="006E5AA3"/>
    <w:rsid w:val="006E65EC"/>
    <w:rsid w:val="006E7520"/>
    <w:rsid w:val="006F03ED"/>
    <w:rsid w:val="006F67E6"/>
    <w:rsid w:val="006F6D28"/>
    <w:rsid w:val="006F77F7"/>
    <w:rsid w:val="00700D32"/>
    <w:rsid w:val="0070138D"/>
    <w:rsid w:val="00701A2B"/>
    <w:rsid w:val="0070266E"/>
    <w:rsid w:val="007030AF"/>
    <w:rsid w:val="00705429"/>
    <w:rsid w:val="00705F4C"/>
    <w:rsid w:val="0070730B"/>
    <w:rsid w:val="00712BC5"/>
    <w:rsid w:val="00715CA4"/>
    <w:rsid w:val="00716EAC"/>
    <w:rsid w:val="00720395"/>
    <w:rsid w:val="00722AAE"/>
    <w:rsid w:val="0072448B"/>
    <w:rsid w:val="007245EF"/>
    <w:rsid w:val="00726016"/>
    <w:rsid w:val="00726F82"/>
    <w:rsid w:val="00727525"/>
    <w:rsid w:val="00735B90"/>
    <w:rsid w:val="007432F4"/>
    <w:rsid w:val="007477E3"/>
    <w:rsid w:val="0075401E"/>
    <w:rsid w:val="00755471"/>
    <w:rsid w:val="007556A8"/>
    <w:rsid w:val="00756686"/>
    <w:rsid w:val="00760DDA"/>
    <w:rsid w:val="00760FBD"/>
    <w:rsid w:val="00761729"/>
    <w:rsid w:val="00774780"/>
    <w:rsid w:val="007768A2"/>
    <w:rsid w:val="00776FE6"/>
    <w:rsid w:val="007812EA"/>
    <w:rsid w:val="00781F1A"/>
    <w:rsid w:val="00782C84"/>
    <w:rsid w:val="00784D8F"/>
    <w:rsid w:val="0078722E"/>
    <w:rsid w:val="007912E9"/>
    <w:rsid w:val="00791B89"/>
    <w:rsid w:val="007923BD"/>
    <w:rsid w:val="00793820"/>
    <w:rsid w:val="007945BC"/>
    <w:rsid w:val="00794DE3"/>
    <w:rsid w:val="00797654"/>
    <w:rsid w:val="00797B14"/>
    <w:rsid w:val="007A022B"/>
    <w:rsid w:val="007A1A73"/>
    <w:rsid w:val="007A36E9"/>
    <w:rsid w:val="007A4FEA"/>
    <w:rsid w:val="007A5B26"/>
    <w:rsid w:val="007A710B"/>
    <w:rsid w:val="007B0B70"/>
    <w:rsid w:val="007B317A"/>
    <w:rsid w:val="007B4614"/>
    <w:rsid w:val="007B7812"/>
    <w:rsid w:val="007C11E0"/>
    <w:rsid w:val="007C3308"/>
    <w:rsid w:val="007C48C1"/>
    <w:rsid w:val="007C4C1F"/>
    <w:rsid w:val="007D1773"/>
    <w:rsid w:val="007D3096"/>
    <w:rsid w:val="007D4356"/>
    <w:rsid w:val="007D4FCA"/>
    <w:rsid w:val="007D520B"/>
    <w:rsid w:val="007D5225"/>
    <w:rsid w:val="007D6192"/>
    <w:rsid w:val="007D646F"/>
    <w:rsid w:val="007E0035"/>
    <w:rsid w:val="007F05BA"/>
    <w:rsid w:val="007F1688"/>
    <w:rsid w:val="007F17C2"/>
    <w:rsid w:val="007F3051"/>
    <w:rsid w:val="007F445F"/>
    <w:rsid w:val="007F69C4"/>
    <w:rsid w:val="00800158"/>
    <w:rsid w:val="00800C49"/>
    <w:rsid w:val="00800F46"/>
    <w:rsid w:val="008019FB"/>
    <w:rsid w:val="00805B1A"/>
    <w:rsid w:val="00812666"/>
    <w:rsid w:val="00816354"/>
    <w:rsid w:val="008166B9"/>
    <w:rsid w:val="00823734"/>
    <w:rsid w:val="00824710"/>
    <w:rsid w:val="00825BEF"/>
    <w:rsid w:val="00826AFA"/>
    <w:rsid w:val="00826D5A"/>
    <w:rsid w:val="008275DE"/>
    <w:rsid w:val="0083025F"/>
    <w:rsid w:val="008316EB"/>
    <w:rsid w:val="00831A4E"/>
    <w:rsid w:val="00834158"/>
    <w:rsid w:val="00834F29"/>
    <w:rsid w:val="00837133"/>
    <w:rsid w:val="00841FDD"/>
    <w:rsid w:val="00843099"/>
    <w:rsid w:val="00844A63"/>
    <w:rsid w:val="00845B6B"/>
    <w:rsid w:val="00852FD5"/>
    <w:rsid w:val="0085555C"/>
    <w:rsid w:val="0085722C"/>
    <w:rsid w:val="00860076"/>
    <w:rsid w:val="00864B42"/>
    <w:rsid w:val="00864EDC"/>
    <w:rsid w:val="008717FD"/>
    <w:rsid w:val="00872085"/>
    <w:rsid w:val="0087311E"/>
    <w:rsid w:val="008766A7"/>
    <w:rsid w:val="0088023F"/>
    <w:rsid w:val="00881D70"/>
    <w:rsid w:val="00884AB2"/>
    <w:rsid w:val="008853E8"/>
    <w:rsid w:val="00890B67"/>
    <w:rsid w:val="00893361"/>
    <w:rsid w:val="00893A8E"/>
    <w:rsid w:val="00893CE3"/>
    <w:rsid w:val="008941F8"/>
    <w:rsid w:val="0089639E"/>
    <w:rsid w:val="0089684C"/>
    <w:rsid w:val="008A0387"/>
    <w:rsid w:val="008A328F"/>
    <w:rsid w:val="008A42EB"/>
    <w:rsid w:val="008A4E58"/>
    <w:rsid w:val="008A5347"/>
    <w:rsid w:val="008A5709"/>
    <w:rsid w:val="008A6B7B"/>
    <w:rsid w:val="008B1A6F"/>
    <w:rsid w:val="008B35DA"/>
    <w:rsid w:val="008B6562"/>
    <w:rsid w:val="008B7C56"/>
    <w:rsid w:val="008C1BE0"/>
    <w:rsid w:val="008C5328"/>
    <w:rsid w:val="008C6844"/>
    <w:rsid w:val="008D03DD"/>
    <w:rsid w:val="008D1502"/>
    <w:rsid w:val="008D2E6B"/>
    <w:rsid w:val="008D3059"/>
    <w:rsid w:val="008D44E2"/>
    <w:rsid w:val="008D5C1F"/>
    <w:rsid w:val="008D612C"/>
    <w:rsid w:val="008E0C90"/>
    <w:rsid w:val="008E2793"/>
    <w:rsid w:val="008E340A"/>
    <w:rsid w:val="008E5FED"/>
    <w:rsid w:val="008E71FB"/>
    <w:rsid w:val="008F024A"/>
    <w:rsid w:val="008F4CD3"/>
    <w:rsid w:val="008F62FB"/>
    <w:rsid w:val="008F79BB"/>
    <w:rsid w:val="00900B1D"/>
    <w:rsid w:val="00901C67"/>
    <w:rsid w:val="00903CC7"/>
    <w:rsid w:val="009058DF"/>
    <w:rsid w:val="00907722"/>
    <w:rsid w:val="00910D7C"/>
    <w:rsid w:val="00910E34"/>
    <w:rsid w:val="00911CE5"/>
    <w:rsid w:val="009133CD"/>
    <w:rsid w:val="0091490C"/>
    <w:rsid w:val="009204DB"/>
    <w:rsid w:val="009206E4"/>
    <w:rsid w:val="0092128F"/>
    <w:rsid w:val="00922063"/>
    <w:rsid w:val="009220D3"/>
    <w:rsid w:val="009226F2"/>
    <w:rsid w:val="00926314"/>
    <w:rsid w:val="00930317"/>
    <w:rsid w:val="00933333"/>
    <w:rsid w:val="0093364F"/>
    <w:rsid w:val="00934E57"/>
    <w:rsid w:val="00936A0A"/>
    <w:rsid w:val="00944176"/>
    <w:rsid w:val="009444B8"/>
    <w:rsid w:val="00944D19"/>
    <w:rsid w:val="0094724D"/>
    <w:rsid w:val="009510ED"/>
    <w:rsid w:val="00954E13"/>
    <w:rsid w:val="00955098"/>
    <w:rsid w:val="00962A6D"/>
    <w:rsid w:val="009642C6"/>
    <w:rsid w:val="0096452B"/>
    <w:rsid w:val="0097237C"/>
    <w:rsid w:val="00975377"/>
    <w:rsid w:val="0097752F"/>
    <w:rsid w:val="00980E2D"/>
    <w:rsid w:val="00981308"/>
    <w:rsid w:val="00983CDC"/>
    <w:rsid w:val="00983E62"/>
    <w:rsid w:val="00984743"/>
    <w:rsid w:val="00985D99"/>
    <w:rsid w:val="009878F3"/>
    <w:rsid w:val="00987A4E"/>
    <w:rsid w:val="00987C57"/>
    <w:rsid w:val="0099188F"/>
    <w:rsid w:val="009926D7"/>
    <w:rsid w:val="00993328"/>
    <w:rsid w:val="00995822"/>
    <w:rsid w:val="009958E1"/>
    <w:rsid w:val="00997A44"/>
    <w:rsid w:val="009A1FC7"/>
    <w:rsid w:val="009A4C2B"/>
    <w:rsid w:val="009A7254"/>
    <w:rsid w:val="009B2BF4"/>
    <w:rsid w:val="009B52A3"/>
    <w:rsid w:val="009B53BA"/>
    <w:rsid w:val="009B609B"/>
    <w:rsid w:val="009B6F4E"/>
    <w:rsid w:val="009B6FA5"/>
    <w:rsid w:val="009B70E4"/>
    <w:rsid w:val="009B74CD"/>
    <w:rsid w:val="009D1F6F"/>
    <w:rsid w:val="009D38DB"/>
    <w:rsid w:val="009D3D0A"/>
    <w:rsid w:val="009D628E"/>
    <w:rsid w:val="009D62DE"/>
    <w:rsid w:val="009E0AD8"/>
    <w:rsid w:val="009E1F06"/>
    <w:rsid w:val="009E2D2B"/>
    <w:rsid w:val="009E4F29"/>
    <w:rsid w:val="009E5236"/>
    <w:rsid w:val="009E5DEF"/>
    <w:rsid w:val="009E6B6B"/>
    <w:rsid w:val="009F212C"/>
    <w:rsid w:val="009F3B36"/>
    <w:rsid w:val="009F79E3"/>
    <w:rsid w:val="00A01A52"/>
    <w:rsid w:val="00A02A0A"/>
    <w:rsid w:val="00A04717"/>
    <w:rsid w:val="00A04E49"/>
    <w:rsid w:val="00A0724B"/>
    <w:rsid w:val="00A10236"/>
    <w:rsid w:val="00A10B7E"/>
    <w:rsid w:val="00A11E9D"/>
    <w:rsid w:val="00A1598C"/>
    <w:rsid w:val="00A15EDE"/>
    <w:rsid w:val="00A163CB"/>
    <w:rsid w:val="00A24789"/>
    <w:rsid w:val="00A25268"/>
    <w:rsid w:val="00A32785"/>
    <w:rsid w:val="00A34924"/>
    <w:rsid w:val="00A35F3F"/>
    <w:rsid w:val="00A3755F"/>
    <w:rsid w:val="00A40234"/>
    <w:rsid w:val="00A40B0A"/>
    <w:rsid w:val="00A4496C"/>
    <w:rsid w:val="00A511D4"/>
    <w:rsid w:val="00A51BDA"/>
    <w:rsid w:val="00A52FED"/>
    <w:rsid w:val="00A547EA"/>
    <w:rsid w:val="00A54EE3"/>
    <w:rsid w:val="00A60040"/>
    <w:rsid w:val="00A61125"/>
    <w:rsid w:val="00A64033"/>
    <w:rsid w:val="00A65635"/>
    <w:rsid w:val="00A66230"/>
    <w:rsid w:val="00A666E6"/>
    <w:rsid w:val="00A66B33"/>
    <w:rsid w:val="00A706DE"/>
    <w:rsid w:val="00A70BEA"/>
    <w:rsid w:val="00A714E4"/>
    <w:rsid w:val="00A7226B"/>
    <w:rsid w:val="00A74C23"/>
    <w:rsid w:val="00A77E2C"/>
    <w:rsid w:val="00A80575"/>
    <w:rsid w:val="00A806B3"/>
    <w:rsid w:val="00A80E57"/>
    <w:rsid w:val="00A82337"/>
    <w:rsid w:val="00A84260"/>
    <w:rsid w:val="00A8748A"/>
    <w:rsid w:val="00A875F9"/>
    <w:rsid w:val="00A90118"/>
    <w:rsid w:val="00A90821"/>
    <w:rsid w:val="00A909FF"/>
    <w:rsid w:val="00A9229C"/>
    <w:rsid w:val="00A928C5"/>
    <w:rsid w:val="00A94CCD"/>
    <w:rsid w:val="00A955A3"/>
    <w:rsid w:val="00A958C2"/>
    <w:rsid w:val="00A95C9E"/>
    <w:rsid w:val="00A965CD"/>
    <w:rsid w:val="00A96933"/>
    <w:rsid w:val="00A97D34"/>
    <w:rsid w:val="00AA175E"/>
    <w:rsid w:val="00AA1B3F"/>
    <w:rsid w:val="00AA562F"/>
    <w:rsid w:val="00AA565B"/>
    <w:rsid w:val="00AA6572"/>
    <w:rsid w:val="00AA6DE0"/>
    <w:rsid w:val="00AB0EDD"/>
    <w:rsid w:val="00AB238D"/>
    <w:rsid w:val="00AC5DC1"/>
    <w:rsid w:val="00AD1275"/>
    <w:rsid w:val="00AD56BA"/>
    <w:rsid w:val="00AE4A39"/>
    <w:rsid w:val="00AE52E2"/>
    <w:rsid w:val="00AE5941"/>
    <w:rsid w:val="00AE7E72"/>
    <w:rsid w:val="00AF00B0"/>
    <w:rsid w:val="00AF0B6E"/>
    <w:rsid w:val="00AF0C1B"/>
    <w:rsid w:val="00AF1152"/>
    <w:rsid w:val="00AF20DE"/>
    <w:rsid w:val="00AF2C7E"/>
    <w:rsid w:val="00AF337C"/>
    <w:rsid w:val="00AF365B"/>
    <w:rsid w:val="00AF3BC9"/>
    <w:rsid w:val="00B0152E"/>
    <w:rsid w:val="00B0159E"/>
    <w:rsid w:val="00B06F77"/>
    <w:rsid w:val="00B148EB"/>
    <w:rsid w:val="00B17EA4"/>
    <w:rsid w:val="00B2401D"/>
    <w:rsid w:val="00B271E2"/>
    <w:rsid w:val="00B27F1E"/>
    <w:rsid w:val="00B31E75"/>
    <w:rsid w:val="00B320DC"/>
    <w:rsid w:val="00B320E0"/>
    <w:rsid w:val="00B32D83"/>
    <w:rsid w:val="00B35A2B"/>
    <w:rsid w:val="00B3629C"/>
    <w:rsid w:val="00B40143"/>
    <w:rsid w:val="00B44598"/>
    <w:rsid w:val="00B44C87"/>
    <w:rsid w:val="00B45127"/>
    <w:rsid w:val="00B47772"/>
    <w:rsid w:val="00B525E7"/>
    <w:rsid w:val="00B5298A"/>
    <w:rsid w:val="00B52BC2"/>
    <w:rsid w:val="00B54B9E"/>
    <w:rsid w:val="00B5655B"/>
    <w:rsid w:val="00B602C0"/>
    <w:rsid w:val="00B635AB"/>
    <w:rsid w:val="00B639CC"/>
    <w:rsid w:val="00B65AA6"/>
    <w:rsid w:val="00B67A38"/>
    <w:rsid w:val="00B736AC"/>
    <w:rsid w:val="00B753D4"/>
    <w:rsid w:val="00B7657D"/>
    <w:rsid w:val="00B777DB"/>
    <w:rsid w:val="00B804DA"/>
    <w:rsid w:val="00B83BD4"/>
    <w:rsid w:val="00B873B1"/>
    <w:rsid w:val="00B91C42"/>
    <w:rsid w:val="00BB0ED6"/>
    <w:rsid w:val="00BB1C0A"/>
    <w:rsid w:val="00BB4376"/>
    <w:rsid w:val="00BB4A45"/>
    <w:rsid w:val="00BB4B74"/>
    <w:rsid w:val="00BB6FED"/>
    <w:rsid w:val="00BC1740"/>
    <w:rsid w:val="00BC41B2"/>
    <w:rsid w:val="00BC45B6"/>
    <w:rsid w:val="00BC4F9E"/>
    <w:rsid w:val="00BE0799"/>
    <w:rsid w:val="00BE26D9"/>
    <w:rsid w:val="00BF1119"/>
    <w:rsid w:val="00BF5510"/>
    <w:rsid w:val="00C00C31"/>
    <w:rsid w:val="00C04C3E"/>
    <w:rsid w:val="00C070A2"/>
    <w:rsid w:val="00C07C06"/>
    <w:rsid w:val="00C10D37"/>
    <w:rsid w:val="00C13A0F"/>
    <w:rsid w:val="00C14C4A"/>
    <w:rsid w:val="00C17E66"/>
    <w:rsid w:val="00C22482"/>
    <w:rsid w:val="00C242A9"/>
    <w:rsid w:val="00C24D87"/>
    <w:rsid w:val="00C3032A"/>
    <w:rsid w:val="00C31C6D"/>
    <w:rsid w:val="00C31FF2"/>
    <w:rsid w:val="00C33C36"/>
    <w:rsid w:val="00C34E53"/>
    <w:rsid w:val="00C37264"/>
    <w:rsid w:val="00C40428"/>
    <w:rsid w:val="00C408D1"/>
    <w:rsid w:val="00C41ED9"/>
    <w:rsid w:val="00C44645"/>
    <w:rsid w:val="00C50A3F"/>
    <w:rsid w:val="00C51474"/>
    <w:rsid w:val="00C51847"/>
    <w:rsid w:val="00C55C36"/>
    <w:rsid w:val="00C60ECE"/>
    <w:rsid w:val="00C61072"/>
    <w:rsid w:val="00C6137D"/>
    <w:rsid w:val="00C61540"/>
    <w:rsid w:val="00C61B0C"/>
    <w:rsid w:val="00C634E4"/>
    <w:rsid w:val="00C67D4C"/>
    <w:rsid w:val="00C706FA"/>
    <w:rsid w:val="00C71FD7"/>
    <w:rsid w:val="00C808FE"/>
    <w:rsid w:val="00C81D18"/>
    <w:rsid w:val="00C82258"/>
    <w:rsid w:val="00C82744"/>
    <w:rsid w:val="00C836D9"/>
    <w:rsid w:val="00C84109"/>
    <w:rsid w:val="00C843F0"/>
    <w:rsid w:val="00C85F66"/>
    <w:rsid w:val="00C86790"/>
    <w:rsid w:val="00C87F51"/>
    <w:rsid w:val="00C928C8"/>
    <w:rsid w:val="00C95F0B"/>
    <w:rsid w:val="00C96EE4"/>
    <w:rsid w:val="00CA0CFD"/>
    <w:rsid w:val="00CA108E"/>
    <w:rsid w:val="00CA37C8"/>
    <w:rsid w:val="00CA5047"/>
    <w:rsid w:val="00CA7C2A"/>
    <w:rsid w:val="00CC1221"/>
    <w:rsid w:val="00CC339D"/>
    <w:rsid w:val="00CC4EE7"/>
    <w:rsid w:val="00CC5ED9"/>
    <w:rsid w:val="00CC6DD2"/>
    <w:rsid w:val="00CD4CC6"/>
    <w:rsid w:val="00CD58FA"/>
    <w:rsid w:val="00CD5C22"/>
    <w:rsid w:val="00CE363E"/>
    <w:rsid w:val="00CF0973"/>
    <w:rsid w:val="00CF1430"/>
    <w:rsid w:val="00CF1AE4"/>
    <w:rsid w:val="00CF2679"/>
    <w:rsid w:val="00CF4061"/>
    <w:rsid w:val="00CF43F0"/>
    <w:rsid w:val="00D0046C"/>
    <w:rsid w:val="00D00979"/>
    <w:rsid w:val="00D019CE"/>
    <w:rsid w:val="00D01E3B"/>
    <w:rsid w:val="00D05480"/>
    <w:rsid w:val="00D06EEA"/>
    <w:rsid w:val="00D11946"/>
    <w:rsid w:val="00D14F71"/>
    <w:rsid w:val="00D15612"/>
    <w:rsid w:val="00D156E5"/>
    <w:rsid w:val="00D17A89"/>
    <w:rsid w:val="00D20329"/>
    <w:rsid w:val="00D204BD"/>
    <w:rsid w:val="00D21619"/>
    <w:rsid w:val="00D21B1B"/>
    <w:rsid w:val="00D220B5"/>
    <w:rsid w:val="00D22799"/>
    <w:rsid w:val="00D26063"/>
    <w:rsid w:val="00D30FB0"/>
    <w:rsid w:val="00D32832"/>
    <w:rsid w:val="00D33C76"/>
    <w:rsid w:val="00D34827"/>
    <w:rsid w:val="00D3642E"/>
    <w:rsid w:val="00D37490"/>
    <w:rsid w:val="00D41F8D"/>
    <w:rsid w:val="00D426AA"/>
    <w:rsid w:val="00D45163"/>
    <w:rsid w:val="00D451AB"/>
    <w:rsid w:val="00D50991"/>
    <w:rsid w:val="00D578AF"/>
    <w:rsid w:val="00D61DA0"/>
    <w:rsid w:val="00D65D7A"/>
    <w:rsid w:val="00D66F2C"/>
    <w:rsid w:val="00D6793A"/>
    <w:rsid w:val="00D704BA"/>
    <w:rsid w:val="00D7347C"/>
    <w:rsid w:val="00D74D7F"/>
    <w:rsid w:val="00D75348"/>
    <w:rsid w:val="00D80F6F"/>
    <w:rsid w:val="00D820E3"/>
    <w:rsid w:val="00D863C9"/>
    <w:rsid w:val="00D90979"/>
    <w:rsid w:val="00D9342C"/>
    <w:rsid w:val="00D944CB"/>
    <w:rsid w:val="00DA326B"/>
    <w:rsid w:val="00DA3BCE"/>
    <w:rsid w:val="00DA59FA"/>
    <w:rsid w:val="00DA7343"/>
    <w:rsid w:val="00DB1157"/>
    <w:rsid w:val="00DB295F"/>
    <w:rsid w:val="00DB29E4"/>
    <w:rsid w:val="00DB3826"/>
    <w:rsid w:val="00DB47DC"/>
    <w:rsid w:val="00DB74F2"/>
    <w:rsid w:val="00DC205C"/>
    <w:rsid w:val="00DC5687"/>
    <w:rsid w:val="00DC6575"/>
    <w:rsid w:val="00DC72C3"/>
    <w:rsid w:val="00DC7A5D"/>
    <w:rsid w:val="00DD00EF"/>
    <w:rsid w:val="00DD0C82"/>
    <w:rsid w:val="00DD1CF8"/>
    <w:rsid w:val="00DD342E"/>
    <w:rsid w:val="00DD6102"/>
    <w:rsid w:val="00DD71F1"/>
    <w:rsid w:val="00DE00C5"/>
    <w:rsid w:val="00DE3FB5"/>
    <w:rsid w:val="00DE7074"/>
    <w:rsid w:val="00DE7381"/>
    <w:rsid w:val="00DF0C48"/>
    <w:rsid w:val="00DF2749"/>
    <w:rsid w:val="00DF60A6"/>
    <w:rsid w:val="00E00D0A"/>
    <w:rsid w:val="00E043A6"/>
    <w:rsid w:val="00E05B5A"/>
    <w:rsid w:val="00E05F1B"/>
    <w:rsid w:val="00E07B93"/>
    <w:rsid w:val="00E07E15"/>
    <w:rsid w:val="00E1354A"/>
    <w:rsid w:val="00E161F8"/>
    <w:rsid w:val="00E16DA8"/>
    <w:rsid w:val="00E261A4"/>
    <w:rsid w:val="00E26EE5"/>
    <w:rsid w:val="00E30BF7"/>
    <w:rsid w:val="00E32815"/>
    <w:rsid w:val="00E33554"/>
    <w:rsid w:val="00E40596"/>
    <w:rsid w:val="00E40BA9"/>
    <w:rsid w:val="00E41B77"/>
    <w:rsid w:val="00E45EC3"/>
    <w:rsid w:val="00E47C4F"/>
    <w:rsid w:val="00E53BBB"/>
    <w:rsid w:val="00E541A3"/>
    <w:rsid w:val="00E637BB"/>
    <w:rsid w:val="00E638C8"/>
    <w:rsid w:val="00E658DD"/>
    <w:rsid w:val="00E65D7E"/>
    <w:rsid w:val="00E70383"/>
    <w:rsid w:val="00E7427C"/>
    <w:rsid w:val="00E75972"/>
    <w:rsid w:val="00E815D2"/>
    <w:rsid w:val="00E82204"/>
    <w:rsid w:val="00E8377B"/>
    <w:rsid w:val="00E83A77"/>
    <w:rsid w:val="00E8796C"/>
    <w:rsid w:val="00E90251"/>
    <w:rsid w:val="00E933C0"/>
    <w:rsid w:val="00E962B7"/>
    <w:rsid w:val="00E96877"/>
    <w:rsid w:val="00E978BF"/>
    <w:rsid w:val="00EA1188"/>
    <w:rsid w:val="00EB0752"/>
    <w:rsid w:val="00EB0AE1"/>
    <w:rsid w:val="00EB1186"/>
    <w:rsid w:val="00EB77CC"/>
    <w:rsid w:val="00EC0997"/>
    <w:rsid w:val="00EC2EEF"/>
    <w:rsid w:val="00EC5DDD"/>
    <w:rsid w:val="00ED2F39"/>
    <w:rsid w:val="00ED30F4"/>
    <w:rsid w:val="00ED43BB"/>
    <w:rsid w:val="00ED449A"/>
    <w:rsid w:val="00ED517E"/>
    <w:rsid w:val="00ED6528"/>
    <w:rsid w:val="00ED68E9"/>
    <w:rsid w:val="00EE1FC2"/>
    <w:rsid w:val="00EE419C"/>
    <w:rsid w:val="00EE7BE0"/>
    <w:rsid w:val="00EF52E8"/>
    <w:rsid w:val="00EF670C"/>
    <w:rsid w:val="00F051DC"/>
    <w:rsid w:val="00F05373"/>
    <w:rsid w:val="00F10244"/>
    <w:rsid w:val="00F112B1"/>
    <w:rsid w:val="00F1132A"/>
    <w:rsid w:val="00F11F09"/>
    <w:rsid w:val="00F1455B"/>
    <w:rsid w:val="00F16D36"/>
    <w:rsid w:val="00F210FD"/>
    <w:rsid w:val="00F250D2"/>
    <w:rsid w:val="00F25F33"/>
    <w:rsid w:val="00F310E7"/>
    <w:rsid w:val="00F33087"/>
    <w:rsid w:val="00F350B2"/>
    <w:rsid w:val="00F372A2"/>
    <w:rsid w:val="00F4243D"/>
    <w:rsid w:val="00F4304A"/>
    <w:rsid w:val="00F43155"/>
    <w:rsid w:val="00F44DA4"/>
    <w:rsid w:val="00F45BA7"/>
    <w:rsid w:val="00F45BE9"/>
    <w:rsid w:val="00F46308"/>
    <w:rsid w:val="00F46F4A"/>
    <w:rsid w:val="00F470C1"/>
    <w:rsid w:val="00F52CE1"/>
    <w:rsid w:val="00F57917"/>
    <w:rsid w:val="00F60788"/>
    <w:rsid w:val="00F7063D"/>
    <w:rsid w:val="00F70C88"/>
    <w:rsid w:val="00F7168A"/>
    <w:rsid w:val="00F734AD"/>
    <w:rsid w:val="00F745D9"/>
    <w:rsid w:val="00F75B80"/>
    <w:rsid w:val="00F76618"/>
    <w:rsid w:val="00F76E42"/>
    <w:rsid w:val="00F81D1B"/>
    <w:rsid w:val="00F83FBC"/>
    <w:rsid w:val="00F841A7"/>
    <w:rsid w:val="00F84292"/>
    <w:rsid w:val="00F85E04"/>
    <w:rsid w:val="00F864DA"/>
    <w:rsid w:val="00F9134D"/>
    <w:rsid w:val="00F916DA"/>
    <w:rsid w:val="00F92643"/>
    <w:rsid w:val="00F936B3"/>
    <w:rsid w:val="00F96508"/>
    <w:rsid w:val="00F97F7D"/>
    <w:rsid w:val="00FA0333"/>
    <w:rsid w:val="00FA19D5"/>
    <w:rsid w:val="00FA21B9"/>
    <w:rsid w:val="00FA3EE8"/>
    <w:rsid w:val="00FA6669"/>
    <w:rsid w:val="00FA7639"/>
    <w:rsid w:val="00FB3457"/>
    <w:rsid w:val="00FB3E2C"/>
    <w:rsid w:val="00FB5241"/>
    <w:rsid w:val="00FB695B"/>
    <w:rsid w:val="00FC037E"/>
    <w:rsid w:val="00FC19B9"/>
    <w:rsid w:val="00FC4DE3"/>
    <w:rsid w:val="00FC6716"/>
    <w:rsid w:val="00FD00A5"/>
    <w:rsid w:val="00FD2151"/>
    <w:rsid w:val="00FD23DA"/>
    <w:rsid w:val="00FD4B0F"/>
    <w:rsid w:val="00FD7E82"/>
    <w:rsid w:val="00FE0661"/>
    <w:rsid w:val="00FE25A0"/>
    <w:rsid w:val="00FE671C"/>
    <w:rsid w:val="00FF0C09"/>
    <w:rsid w:val="00FF1D34"/>
    <w:rsid w:val="00FF1DD7"/>
    <w:rsid w:val="00FF3775"/>
    <w:rsid w:val="00FF3996"/>
    <w:rsid w:val="00FF3C19"/>
    <w:rsid w:val="01CE5D1C"/>
    <w:rsid w:val="026475DE"/>
    <w:rsid w:val="039E595D"/>
    <w:rsid w:val="06E15F8D"/>
    <w:rsid w:val="070F07F6"/>
    <w:rsid w:val="0765096C"/>
    <w:rsid w:val="08083403"/>
    <w:rsid w:val="081B538F"/>
    <w:rsid w:val="081C3970"/>
    <w:rsid w:val="09B04369"/>
    <w:rsid w:val="09BE5E2A"/>
    <w:rsid w:val="0A091F73"/>
    <w:rsid w:val="0A701413"/>
    <w:rsid w:val="0A8504E9"/>
    <w:rsid w:val="0AF54E47"/>
    <w:rsid w:val="0B073D25"/>
    <w:rsid w:val="0BC8396B"/>
    <w:rsid w:val="0C0A5335"/>
    <w:rsid w:val="0C9D4EAB"/>
    <w:rsid w:val="0D92619C"/>
    <w:rsid w:val="0DEA65B5"/>
    <w:rsid w:val="0F412CA9"/>
    <w:rsid w:val="0FD566D2"/>
    <w:rsid w:val="10FB29AF"/>
    <w:rsid w:val="13B2170D"/>
    <w:rsid w:val="13B97480"/>
    <w:rsid w:val="14034EB5"/>
    <w:rsid w:val="14870494"/>
    <w:rsid w:val="15085E8C"/>
    <w:rsid w:val="15174F60"/>
    <w:rsid w:val="15554E6B"/>
    <w:rsid w:val="1556095A"/>
    <w:rsid w:val="167D7F24"/>
    <w:rsid w:val="17306AB5"/>
    <w:rsid w:val="17373F64"/>
    <w:rsid w:val="19534DA3"/>
    <w:rsid w:val="19A054D6"/>
    <w:rsid w:val="1A3E119A"/>
    <w:rsid w:val="1B0717C8"/>
    <w:rsid w:val="1BA03836"/>
    <w:rsid w:val="1BE33681"/>
    <w:rsid w:val="1DCB4E4A"/>
    <w:rsid w:val="1E1467F1"/>
    <w:rsid w:val="1FBDA86D"/>
    <w:rsid w:val="207417C9"/>
    <w:rsid w:val="21862EC6"/>
    <w:rsid w:val="237A2B2A"/>
    <w:rsid w:val="242D2C2D"/>
    <w:rsid w:val="25FBCF81"/>
    <w:rsid w:val="28FB2A87"/>
    <w:rsid w:val="2C4F36F5"/>
    <w:rsid w:val="2D5F22BD"/>
    <w:rsid w:val="2FF37D11"/>
    <w:rsid w:val="3013049D"/>
    <w:rsid w:val="30EE254F"/>
    <w:rsid w:val="332C3D99"/>
    <w:rsid w:val="334836EB"/>
    <w:rsid w:val="33484B1B"/>
    <w:rsid w:val="339259E4"/>
    <w:rsid w:val="365875C5"/>
    <w:rsid w:val="39356049"/>
    <w:rsid w:val="39D567ED"/>
    <w:rsid w:val="3B4E60E4"/>
    <w:rsid w:val="3BFE2074"/>
    <w:rsid w:val="3D5A7307"/>
    <w:rsid w:val="3F8C7277"/>
    <w:rsid w:val="3FA0222F"/>
    <w:rsid w:val="3FDF106E"/>
    <w:rsid w:val="42C133BC"/>
    <w:rsid w:val="42D769B6"/>
    <w:rsid w:val="44F600D3"/>
    <w:rsid w:val="45617704"/>
    <w:rsid w:val="459B4F7E"/>
    <w:rsid w:val="48B048DB"/>
    <w:rsid w:val="4A4831FA"/>
    <w:rsid w:val="4B7C707F"/>
    <w:rsid w:val="4B8C0594"/>
    <w:rsid w:val="4BDFF161"/>
    <w:rsid w:val="4C0F7B1B"/>
    <w:rsid w:val="4C887636"/>
    <w:rsid w:val="4CFE380A"/>
    <w:rsid w:val="4D862B8C"/>
    <w:rsid w:val="4DFF35F5"/>
    <w:rsid w:val="4EBF1B1D"/>
    <w:rsid w:val="4EF47599"/>
    <w:rsid w:val="4FE3578A"/>
    <w:rsid w:val="5382777D"/>
    <w:rsid w:val="53CF9561"/>
    <w:rsid w:val="546121C6"/>
    <w:rsid w:val="54E94B5B"/>
    <w:rsid w:val="55661639"/>
    <w:rsid w:val="55761622"/>
    <w:rsid w:val="5BD857FA"/>
    <w:rsid w:val="5C080481"/>
    <w:rsid w:val="5D1B4C6E"/>
    <w:rsid w:val="5D6E580E"/>
    <w:rsid w:val="5DEA7AEE"/>
    <w:rsid w:val="5DFE65DB"/>
    <w:rsid w:val="5E202145"/>
    <w:rsid w:val="5F621BCD"/>
    <w:rsid w:val="6031647B"/>
    <w:rsid w:val="60B9109D"/>
    <w:rsid w:val="62F74A7A"/>
    <w:rsid w:val="63BB5260"/>
    <w:rsid w:val="63D25BB7"/>
    <w:rsid w:val="64C23E7D"/>
    <w:rsid w:val="65EE9BF0"/>
    <w:rsid w:val="668E2223"/>
    <w:rsid w:val="67FFD309"/>
    <w:rsid w:val="683026D9"/>
    <w:rsid w:val="68F613C0"/>
    <w:rsid w:val="693F388B"/>
    <w:rsid w:val="69FFFC0A"/>
    <w:rsid w:val="6D6B2492"/>
    <w:rsid w:val="6DBA21A1"/>
    <w:rsid w:val="6F136B04"/>
    <w:rsid w:val="70F76AB0"/>
    <w:rsid w:val="7304780E"/>
    <w:rsid w:val="73731F46"/>
    <w:rsid w:val="75BB73CE"/>
    <w:rsid w:val="75ED0344"/>
    <w:rsid w:val="78AF3D07"/>
    <w:rsid w:val="7A6A345B"/>
    <w:rsid w:val="7AB14320"/>
    <w:rsid w:val="7AF5051C"/>
    <w:rsid w:val="7BBA680A"/>
    <w:rsid w:val="7BE826AE"/>
    <w:rsid w:val="7BF3368A"/>
    <w:rsid w:val="7CCF532E"/>
    <w:rsid w:val="7DF033B2"/>
    <w:rsid w:val="7E00338F"/>
    <w:rsid w:val="7FAF8CE9"/>
    <w:rsid w:val="7FBE4C8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header" w:semiHidden="0" w:unhideWhenUsed="0" w:qFormat="1"/>
    <w:lsdException w:name="footer" w:semiHidden="0" w:uiPriority="99" w:unhideWhenUsed="0" w:qFormat="1"/>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Default Paragraph Font" w:uiPriority="1"/>
    <w:lsdException w:name="Body Text" w:semiHidden="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Hyperlink" w:semiHidden="0" w:uiPriority="99" w:qFormat="1"/>
    <w:lsdException w:name="Strong" w:semiHidden="0" w:unhideWhenUsed="0" w:qFormat="1"/>
    <w:lsdException w:name="Emphasis" w:semiHidden="0" w:unhideWhenUsed="0" w:qFormat="1"/>
    <w:lsdException w:name="HTML Top of Form" w:uiPriority="99"/>
    <w:lsdException w:name="HTML Bottom of Form" w:uiPriority="99"/>
    <w:lsdException w:name="Normal (Web)" w:semiHidden="0" w:uiPriority="99" w:unhideWhenUsed="0" w:qFormat="1"/>
    <w:lsdException w:name="Normal Table" w:uiPriority="99"/>
    <w:lsdException w:name="No List" w:uiPriority="99"/>
    <w:lsdException w:name="Outline List 1" w:uiPriority="99"/>
    <w:lsdException w:name="Outline List 2" w:uiPriority="99"/>
    <w:lsdException w:name="Outline List 3" w:uiPriority="99"/>
    <w:lsdException w:name="Balloon Text" w:qFormat="1"/>
    <w:lsdException w:name="Table Grid" w:semiHidden="0" w:uiPriority="39" w:unhideWhenUsed="0" w:qFormat="1"/>
    <w:lsdException w:name="Placeholder Text" w:uiPriority="99"/>
    <w:lsdException w:name="No Spacing" w:uiPriority="9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lsdException w:name="List Paragraph" w:semiHidden="0" w:uiPriority="34" w:qFormat="1"/>
    <w:lsdException w:name="Quote" w:uiPriority="99"/>
    <w:lsdException w:name="Intense Quote" w:uiPriority="99"/>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2">
    <w:name w:val="Normal"/>
    <w:qFormat/>
    <w:pPr>
      <w:widowControl w:val="0"/>
      <w:ind w:firstLineChars="200" w:firstLine="880"/>
      <w:jc w:val="both"/>
    </w:pPr>
    <w:rPr>
      <w:rFonts w:eastAsia="仿宋_GB2312"/>
      <w:kern w:val="2"/>
      <w:sz w:val="32"/>
      <w:szCs w:val="24"/>
    </w:rPr>
  </w:style>
  <w:style w:type="character" w:default="1" w:styleId="af3">
    <w:name w:val="Default Paragraph Font"/>
    <w:uiPriority w:val="1"/>
    <w:semiHidden/>
    <w:unhideWhenUsed/>
  </w:style>
  <w:style w:type="table" w:default="1" w:styleId="af4">
    <w:name w:val="Normal Table"/>
    <w:uiPriority w:val="99"/>
    <w:semiHidden/>
    <w:unhideWhenUsed/>
    <w:tblPr>
      <w:tblInd w:w="0" w:type="dxa"/>
      <w:tblCellMar>
        <w:top w:w="0" w:type="dxa"/>
        <w:left w:w="108" w:type="dxa"/>
        <w:bottom w:w="0" w:type="dxa"/>
        <w:right w:w="108" w:type="dxa"/>
      </w:tblCellMar>
    </w:tblPr>
  </w:style>
  <w:style w:type="numbering" w:default="1" w:styleId="af5">
    <w:name w:val="No List"/>
    <w:uiPriority w:val="99"/>
    <w:semiHidden/>
    <w:unhideWhenUsed/>
  </w:style>
  <w:style w:type="paragraph" w:styleId="af6">
    <w:name w:val="annotation text"/>
    <w:basedOn w:val="af2"/>
    <w:semiHidden/>
    <w:unhideWhenUsed/>
    <w:qFormat/>
    <w:pPr>
      <w:jc w:val="left"/>
    </w:pPr>
  </w:style>
  <w:style w:type="paragraph" w:styleId="af7">
    <w:name w:val="Body Text"/>
    <w:basedOn w:val="af2"/>
    <w:unhideWhenUsed/>
    <w:qFormat/>
    <w:pPr>
      <w:spacing w:after="120"/>
    </w:pPr>
  </w:style>
  <w:style w:type="paragraph" w:styleId="af8">
    <w:name w:val="Balloon Text"/>
    <w:basedOn w:val="af2"/>
    <w:link w:val="Char"/>
    <w:semiHidden/>
    <w:unhideWhenUsed/>
    <w:qFormat/>
    <w:rPr>
      <w:sz w:val="18"/>
      <w:szCs w:val="18"/>
    </w:rPr>
  </w:style>
  <w:style w:type="paragraph" w:styleId="af9">
    <w:name w:val="footer"/>
    <w:basedOn w:val="af2"/>
    <w:link w:val="Char0"/>
    <w:uiPriority w:val="99"/>
    <w:qFormat/>
    <w:pPr>
      <w:tabs>
        <w:tab w:val="center" w:pos="4153"/>
        <w:tab w:val="right" w:pos="8306"/>
      </w:tabs>
      <w:snapToGrid w:val="0"/>
      <w:jc w:val="left"/>
    </w:pPr>
    <w:rPr>
      <w:sz w:val="18"/>
      <w:szCs w:val="18"/>
    </w:rPr>
  </w:style>
  <w:style w:type="paragraph" w:styleId="afa">
    <w:name w:val="header"/>
    <w:basedOn w:val="af2"/>
    <w:link w:val="Char1"/>
    <w:qFormat/>
    <w:pPr>
      <w:pBdr>
        <w:bottom w:val="single" w:sz="6" w:space="1" w:color="auto"/>
      </w:pBdr>
      <w:tabs>
        <w:tab w:val="center" w:pos="4153"/>
        <w:tab w:val="right" w:pos="8306"/>
      </w:tabs>
      <w:snapToGrid w:val="0"/>
      <w:jc w:val="center"/>
    </w:pPr>
    <w:rPr>
      <w:sz w:val="18"/>
      <w:szCs w:val="18"/>
    </w:rPr>
  </w:style>
  <w:style w:type="paragraph" w:styleId="afb">
    <w:name w:val="Normal (Web)"/>
    <w:basedOn w:val="af2"/>
    <w:uiPriority w:val="99"/>
    <w:qFormat/>
    <w:pPr>
      <w:spacing w:before="100" w:beforeAutospacing="1" w:after="100" w:afterAutospacing="1"/>
      <w:jc w:val="left"/>
    </w:pPr>
    <w:rPr>
      <w:kern w:val="0"/>
      <w:sz w:val="24"/>
    </w:rPr>
  </w:style>
  <w:style w:type="table" w:styleId="afc">
    <w:name w:val="Table Grid"/>
    <w:basedOn w:val="af4"/>
    <w:uiPriority w:val="39"/>
    <w:qFormat/>
    <w:rPr>
      <w:rFonts w:ascii="宋体"/>
      <w:sz w:val="18"/>
      <w:szCs w:val="18"/>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fd">
    <w:name w:val="Strong"/>
    <w:basedOn w:val="af3"/>
    <w:qFormat/>
    <w:rPr>
      <w:b/>
    </w:rPr>
  </w:style>
  <w:style w:type="character" w:styleId="afe">
    <w:name w:val="Hyperlink"/>
    <w:basedOn w:val="af3"/>
    <w:uiPriority w:val="99"/>
    <w:unhideWhenUsed/>
    <w:qFormat/>
    <w:rPr>
      <w:color w:val="0000FF"/>
      <w:u w:val="single"/>
    </w:rPr>
  </w:style>
  <w:style w:type="paragraph" w:customStyle="1" w:styleId="aff">
    <w:name w:val="段"/>
    <w:link w:val="Char2"/>
    <w:qFormat/>
    <w:pPr>
      <w:tabs>
        <w:tab w:val="center" w:pos="4201"/>
        <w:tab w:val="right" w:leader="dot" w:pos="9298"/>
      </w:tabs>
      <w:autoSpaceDE w:val="0"/>
      <w:autoSpaceDN w:val="0"/>
      <w:ind w:firstLineChars="200" w:firstLine="420"/>
      <w:jc w:val="both"/>
    </w:pPr>
    <w:rPr>
      <w:rFonts w:ascii="宋体"/>
      <w:sz w:val="21"/>
    </w:rPr>
  </w:style>
  <w:style w:type="paragraph" w:customStyle="1" w:styleId="aff0">
    <w:name w:val="正文表标题"/>
    <w:next w:val="aff"/>
    <w:qFormat/>
    <w:pPr>
      <w:spacing w:beforeLines="50" w:afterLines="50"/>
      <w:jc w:val="center"/>
    </w:pPr>
    <w:rPr>
      <w:rFonts w:ascii="黑体" w:eastAsia="黑体"/>
      <w:sz w:val="21"/>
    </w:rPr>
  </w:style>
  <w:style w:type="paragraph" w:customStyle="1" w:styleId="af">
    <w:name w:val="正文图标题"/>
    <w:next w:val="aff"/>
    <w:qFormat/>
    <w:pPr>
      <w:numPr>
        <w:numId w:val="1"/>
      </w:numPr>
      <w:tabs>
        <w:tab w:val="left" w:pos="360"/>
      </w:tabs>
      <w:spacing w:beforeLines="50" w:afterLines="50"/>
      <w:jc w:val="center"/>
    </w:pPr>
    <w:rPr>
      <w:rFonts w:ascii="黑体" w:eastAsia="黑体"/>
      <w:sz w:val="21"/>
    </w:rPr>
  </w:style>
  <w:style w:type="paragraph" w:customStyle="1" w:styleId="ac">
    <w:name w:val="其他发布日期"/>
    <w:basedOn w:val="af2"/>
    <w:qFormat/>
    <w:pPr>
      <w:framePr w:w="3997" w:h="471" w:hRule="exact" w:vSpace="181" w:wrap="around" w:vAnchor="page" w:hAnchor="page" w:x="1419" w:y="14097" w:anchorLock="1"/>
      <w:widowControl/>
      <w:numPr>
        <w:numId w:val="2"/>
      </w:numPr>
      <w:jc w:val="left"/>
    </w:pPr>
    <w:rPr>
      <w:rFonts w:eastAsia="黑体"/>
      <w:kern w:val="0"/>
      <w:sz w:val="28"/>
      <w:szCs w:val="20"/>
    </w:rPr>
  </w:style>
  <w:style w:type="paragraph" w:customStyle="1" w:styleId="aff1">
    <w:name w:val="一级条标题"/>
    <w:next w:val="aff"/>
    <w:qFormat/>
    <w:pPr>
      <w:spacing w:beforeLines="50" w:afterLines="50"/>
      <w:ind w:left="525"/>
      <w:outlineLvl w:val="2"/>
    </w:pPr>
    <w:rPr>
      <w:rFonts w:ascii="黑体" w:eastAsia="黑体"/>
      <w:sz w:val="21"/>
      <w:szCs w:val="21"/>
    </w:rPr>
  </w:style>
  <w:style w:type="paragraph" w:customStyle="1" w:styleId="a7">
    <w:name w:val="章标题"/>
    <w:next w:val="aff"/>
    <w:qFormat/>
    <w:pPr>
      <w:numPr>
        <w:numId w:val="3"/>
      </w:numPr>
      <w:spacing w:beforeLines="100" w:afterLines="100"/>
      <w:jc w:val="both"/>
      <w:outlineLvl w:val="1"/>
    </w:pPr>
    <w:rPr>
      <w:rFonts w:ascii="黑体" w:eastAsia="黑体"/>
      <w:sz w:val="21"/>
    </w:rPr>
  </w:style>
  <w:style w:type="paragraph" w:customStyle="1" w:styleId="aff2">
    <w:name w:val="二级条标题"/>
    <w:basedOn w:val="aff1"/>
    <w:next w:val="aff"/>
    <w:qFormat/>
    <w:pPr>
      <w:spacing w:before="50" w:after="50"/>
      <w:outlineLvl w:val="3"/>
    </w:pPr>
  </w:style>
  <w:style w:type="paragraph" w:customStyle="1" w:styleId="aff3">
    <w:name w:val="三级条标题"/>
    <w:basedOn w:val="aff2"/>
    <w:next w:val="aff"/>
    <w:qFormat/>
    <w:pPr>
      <w:outlineLvl w:val="4"/>
    </w:pPr>
  </w:style>
  <w:style w:type="paragraph" w:customStyle="1" w:styleId="aff4">
    <w:name w:val="四级条标题"/>
    <w:basedOn w:val="aff3"/>
    <w:next w:val="aff"/>
    <w:qFormat/>
    <w:pPr>
      <w:outlineLvl w:val="5"/>
    </w:pPr>
  </w:style>
  <w:style w:type="paragraph" w:customStyle="1" w:styleId="aff5">
    <w:name w:val="五级条标题"/>
    <w:basedOn w:val="aff4"/>
    <w:next w:val="aff"/>
    <w:qFormat/>
    <w:pPr>
      <w:outlineLvl w:val="6"/>
    </w:pPr>
  </w:style>
  <w:style w:type="paragraph" w:customStyle="1" w:styleId="a3">
    <w:name w:val="注："/>
    <w:next w:val="aff"/>
    <w:qFormat/>
    <w:pPr>
      <w:widowControl w:val="0"/>
      <w:numPr>
        <w:numId w:val="4"/>
      </w:numPr>
      <w:autoSpaceDE w:val="0"/>
      <w:autoSpaceDN w:val="0"/>
      <w:ind w:left="726" w:hanging="363"/>
      <w:jc w:val="both"/>
    </w:pPr>
    <w:rPr>
      <w:rFonts w:ascii="宋体"/>
      <w:sz w:val="18"/>
      <w:szCs w:val="18"/>
    </w:rPr>
  </w:style>
  <w:style w:type="paragraph" w:customStyle="1" w:styleId="a9">
    <w:name w:val="附录图标号"/>
    <w:basedOn w:val="af2"/>
    <w:qFormat/>
    <w:pPr>
      <w:keepNext/>
      <w:pageBreakBefore/>
      <w:widowControl/>
      <w:numPr>
        <w:numId w:val="5"/>
      </w:numPr>
      <w:spacing w:line="14" w:lineRule="exact"/>
      <w:ind w:left="0" w:firstLine="363"/>
      <w:jc w:val="center"/>
      <w:outlineLvl w:val="0"/>
    </w:pPr>
    <w:rPr>
      <w:color w:val="FFFFFF"/>
    </w:rPr>
  </w:style>
  <w:style w:type="paragraph" w:customStyle="1" w:styleId="aa">
    <w:name w:val="附录图标题"/>
    <w:basedOn w:val="af2"/>
    <w:next w:val="aff"/>
    <w:qFormat/>
    <w:pPr>
      <w:numPr>
        <w:ilvl w:val="1"/>
        <w:numId w:val="5"/>
      </w:numPr>
      <w:tabs>
        <w:tab w:val="left" w:pos="363"/>
      </w:tabs>
      <w:spacing w:beforeLines="50" w:afterLines="50"/>
      <w:ind w:left="0" w:firstLine="0"/>
      <w:jc w:val="center"/>
    </w:pPr>
    <w:rPr>
      <w:rFonts w:ascii="黑体" w:eastAsia="黑体"/>
      <w:szCs w:val="21"/>
    </w:rPr>
  </w:style>
  <w:style w:type="paragraph" w:customStyle="1" w:styleId="a6">
    <w:name w:val="注×：（正文）"/>
    <w:qFormat/>
    <w:pPr>
      <w:numPr>
        <w:numId w:val="6"/>
      </w:numPr>
      <w:jc w:val="both"/>
    </w:pPr>
    <w:rPr>
      <w:rFonts w:ascii="宋体"/>
      <w:sz w:val="18"/>
      <w:szCs w:val="18"/>
    </w:rPr>
  </w:style>
  <w:style w:type="paragraph" w:customStyle="1" w:styleId="a4">
    <w:name w:val="图表脚注说明"/>
    <w:basedOn w:val="af2"/>
    <w:qFormat/>
    <w:pPr>
      <w:numPr>
        <w:numId w:val="7"/>
      </w:numPr>
    </w:pPr>
    <w:rPr>
      <w:rFonts w:ascii="宋体"/>
      <w:sz w:val="18"/>
      <w:szCs w:val="18"/>
    </w:rPr>
  </w:style>
  <w:style w:type="character" w:customStyle="1" w:styleId="Char2">
    <w:name w:val="段 Char"/>
    <w:basedOn w:val="af3"/>
    <w:link w:val="aff"/>
    <w:qFormat/>
    <w:rPr>
      <w:rFonts w:ascii="宋体"/>
      <w:sz w:val="21"/>
      <w:lang w:val="en-US" w:eastAsia="zh-CN" w:bidi="ar-SA"/>
    </w:rPr>
  </w:style>
  <w:style w:type="character" w:customStyle="1" w:styleId="Char1">
    <w:name w:val="页眉 Char"/>
    <w:basedOn w:val="af3"/>
    <w:link w:val="afa"/>
    <w:qFormat/>
    <w:rPr>
      <w:kern w:val="2"/>
      <w:sz w:val="18"/>
      <w:szCs w:val="18"/>
    </w:rPr>
  </w:style>
  <w:style w:type="character" w:customStyle="1" w:styleId="Char0">
    <w:name w:val="页脚 Char"/>
    <w:basedOn w:val="af3"/>
    <w:link w:val="af9"/>
    <w:uiPriority w:val="99"/>
    <w:qFormat/>
    <w:rPr>
      <w:kern w:val="2"/>
      <w:sz w:val="18"/>
      <w:szCs w:val="18"/>
    </w:rPr>
  </w:style>
  <w:style w:type="paragraph" w:customStyle="1" w:styleId="ae">
    <w:name w:val="附录表标题"/>
    <w:basedOn w:val="af2"/>
    <w:next w:val="aff"/>
    <w:qFormat/>
    <w:pPr>
      <w:numPr>
        <w:ilvl w:val="1"/>
        <w:numId w:val="8"/>
      </w:numPr>
      <w:tabs>
        <w:tab w:val="left" w:pos="180"/>
      </w:tabs>
      <w:spacing w:beforeLines="50" w:afterLines="50"/>
      <w:ind w:left="0" w:firstLine="0"/>
      <w:jc w:val="center"/>
    </w:pPr>
    <w:rPr>
      <w:rFonts w:ascii="黑体" w:eastAsia="黑体"/>
      <w:szCs w:val="21"/>
    </w:rPr>
  </w:style>
  <w:style w:type="paragraph" w:styleId="aff6">
    <w:name w:val="List Paragraph"/>
    <w:basedOn w:val="af2"/>
    <w:uiPriority w:val="34"/>
    <w:unhideWhenUsed/>
    <w:qFormat/>
    <w:pPr>
      <w:ind w:firstLine="420"/>
    </w:pPr>
  </w:style>
  <w:style w:type="paragraph" w:customStyle="1" w:styleId="aff7">
    <w:name w:val="其他标准称谓"/>
    <w:qFormat/>
    <w:pPr>
      <w:spacing w:line="0" w:lineRule="atLeast"/>
      <w:jc w:val="distribute"/>
    </w:pPr>
    <w:rPr>
      <w:rFonts w:ascii="黑体" w:eastAsia="黑体" w:hAnsi="宋体"/>
      <w:sz w:val="52"/>
    </w:rPr>
  </w:style>
  <w:style w:type="paragraph" w:customStyle="1" w:styleId="1">
    <w:name w:val="封面标准号1"/>
    <w:qFormat/>
    <w:pPr>
      <w:widowControl w:val="0"/>
      <w:kinsoku w:val="0"/>
      <w:overflowPunct w:val="0"/>
      <w:autoSpaceDE w:val="0"/>
      <w:autoSpaceDN w:val="0"/>
      <w:spacing w:before="308"/>
      <w:jc w:val="right"/>
      <w:textAlignment w:val="center"/>
    </w:pPr>
    <w:rPr>
      <w:sz w:val="28"/>
    </w:rPr>
  </w:style>
  <w:style w:type="character" w:customStyle="1" w:styleId="aff8">
    <w:name w:val="发布"/>
    <w:qFormat/>
    <w:rPr>
      <w:rFonts w:ascii="黑体" w:eastAsia="黑体"/>
      <w:spacing w:val="22"/>
      <w:w w:val="100"/>
      <w:position w:val="3"/>
      <w:sz w:val="28"/>
    </w:rPr>
  </w:style>
  <w:style w:type="paragraph" w:customStyle="1" w:styleId="aff9">
    <w:name w:val="其他发布部门"/>
    <w:basedOn w:val="af2"/>
    <w:qFormat/>
    <w:pPr>
      <w:widowControl/>
      <w:spacing w:line="0" w:lineRule="atLeast"/>
      <w:jc w:val="center"/>
    </w:pPr>
    <w:rPr>
      <w:rFonts w:ascii="黑体" w:eastAsia="黑体"/>
      <w:spacing w:val="20"/>
      <w:w w:val="135"/>
      <w:kern w:val="0"/>
      <w:sz w:val="36"/>
      <w:szCs w:val="20"/>
    </w:rPr>
  </w:style>
  <w:style w:type="paragraph" w:customStyle="1" w:styleId="affa">
    <w:name w:val="标准文件_段"/>
    <w:qFormat/>
    <w:pPr>
      <w:autoSpaceDE w:val="0"/>
      <w:autoSpaceDN w:val="0"/>
      <w:ind w:firstLineChars="200" w:firstLine="200"/>
      <w:jc w:val="both"/>
    </w:pPr>
    <w:rPr>
      <w:rFonts w:ascii="宋体"/>
      <w:sz w:val="21"/>
    </w:rPr>
  </w:style>
  <w:style w:type="character" w:customStyle="1" w:styleId="Char">
    <w:name w:val="批注框文本 Char"/>
    <w:basedOn w:val="af3"/>
    <w:link w:val="af8"/>
    <w:semiHidden/>
    <w:qFormat/>
    <w:rPr>
      <w:rFonts w:ascii="Times New Roman" w:hAnsi="Times New Roman"/>
      <w:kern w:val="2"/>
      <w:sz w:val="18"/>
      <w:szCs w:val="18"/>
    </w:rPr>
  </w:style>
  <w:style w:type="paragraph" w:customStyle="1" w:styleId="BodyText2">
    <w:name w:val="BodyText2"/>
    <w:qFormat/>
    <w:pPr>
      <w:widowControl w:val="0"/>
      <w:spacing w:after="120" w:line="480" w:lineRule="auto"/>
      <w:jc w:val="both"/>
      <w:textAlignment w:val="baseline"/>
    </w:pPr>
    <w:rPr>
      <w:kern w:val="2"/>
      <w:sz w:val="32"/>
      <w:szCs w:val="32"/>
    </w:rPr>
  </w:style>
  <w:style w:type="paragraph" w:customStyle="1" w:styleId="a8">
    <w:name w:val="一级无"/>
    <w:basedOn w:val="aff1"/>
    <w:qFormat/>
    <w:pPr>
      <w:numPr>
        <w:ilvl w:val="1"/>
        <w:numId w:val="3"/>
      </w:numPr>
      <w:spacing w:beforeLines="0" w:afterLines="0"/>
    </w:pPr>
    <w:rPr>
      <w:rFonts w:ascii="宋体" w:eastAsia="宋体"/>
    </w:rPr>
  </w:style>
  <w:style w:type="paragraph" w:customStyle="1" w:styleId="a2">
    <w:name w:val="标准文件_一级无标题"/>
    <w:basedOn w:val="af1"/>
    <w:qFormat/>
    <w:pPr>
      <w:numPr>
        <w:numId w:val="9"/>
      </w:numPr>
    </w:pPr>
    <w:rPr>
      <w:rFonts w:ascii="宋体" w:hint="eastAsia"/>
    </w:rPr>
  </w:style>
  <w:style w:type="paragraph" w:customStyle="1" w:styleId="af1">
    <w:name w:val="标准文件_一级条标题"/>
    <w:basedOn w:val="af0"/>
    <w:next w:val="affa"/>
    <w:qFormat/>
    <w:pPr>
      <w:numPr>
        <w:ilvl w:val="2"/>
      </w:numPr>
      <w:spacing w:beforeLines="50" w:before="50" w:afterLines="50" w:after="50"/>
      <w:outlineLvl w:val="1"/>
    </w:pPr>
  </w:style>
  <w:style w:type="paragraph" w:customStyle="1" w:styleId="af0">
    <w:name w:val="标准文件_章标题"/>
    <w:next w:val="affa"/>
    <w:qFormat/>
    <w:pPr>
      <w:numPr>
        <w:ilvl w:val="1"/>
        <w:numId w:val="10"/>
      </w:numPr>
      <w:spacing w:beforeLines="100" w:before="100" w:afterLines="100" w:after="100"/>
      <w:jc w:val="both"/>
      <w:outlineLvl w:val="0"/>
    </w:pPr>
    <w:rPr>
      <w:rFonts w:ascii="黑体" w:eastAsia="黑体"/>
      <w:sz w:val="21"/>
    </w:rPr>
  </w:style>
  <w:style w:type="paragraph" w:customStyle="1" w:styleId="ab">
    <w:name w:val="标准文件_二级无标题"/>
    <w:qFormat/>
    <w:pPr>
      <w:widowControl w:val="0"/>
      <w:numPr>
        <w:ilvl w:val="3"/>
        <w:numId w:val="11"/>
      </w:numPr>
      <w:jc w:val="both"/>
    </w:pPr>
    <w:rPr>
      <w:rFonts w:ascii="宋体" w:hint="eastAsia"/>
      <w:sz w:val="21"/>
    </w:rPr>
  </w:style>
  <w:style w:type="paragraph" w:customStyle="1" w:styleId="ad">
    <w:name w:val="标准文件_一级项"/>
    <w:basedOn w:val="af2"/>
    <w:qFormat/>
    <w:pPr>
      <w:widowControl/>
      <w:numPr>
        <w:numId w:val="12"/>
      </w:numPr>
      <w:jc w:val="left"/>
    </w:pPr>
    <w:rPr>
      <w:rFonts w:ascii="宋体" w:eastAsia="宋体" w:hint="eastAsia"/>
      <w:kern w:val="0"/>
      <w:sz w:val="21"/>
      <w:szCs w:val="20"/>
    </w:rPr>
  </w:style>
  <w:style w:type="character" w:customStyle="1" w:styleId="Char3">
    <w:name w:val="标准文件_段 Char"/>
    <w:basedOn w:val="af3"/>
    <w:qFormat/>
    <w:rPr>
      <w:rFonts w:ascii="宋体" w:eastAsia="宋体" w:hAnsi="宋体" w:cs="宋体" w:hint="eastAsia"/>
      <w:sz w:val="21"/>
    </w:rPr>
  </w:style>
  <w:style w:type="paragraph" w:customStyle="1" w:styleId="a0">
    <w:name w:val="标准文件_二级条标题"/>
    <w:basedOn w:val="af2"/>
    <w:qFormat/>
    <w:pPr>
      <w:numPr>
        <w:ilvl w:val="3"/>
        <w:numId w:val="13"/>
      </w:numPr>
      <w:spacing w:beforeLines="50" w:afterLines="50"/>
      <w:outlineLvl w:val="2"/>
    </w:pPr>
    <w:rPr>
      <w:rFonts w:ascii="黑体" w:eastAsia="黑体" w:hint="eastAsia"/>
      <w:kern w:val="0"/>
      <w:sz w:val="21"/>
      <w:szCs w:val="20"/>
    </w:rPr>
  </w:style>
  <w:style w:type="paragraph" w:customStyle="1" w:styleId="a5">
    <w:name w:val="标准文件_附录一级条标题"/>
    <w:basedOn w:val="af2"/>
    <w:next w:val="af2"/>
    <w:qFormat/>
    <w:pPr>
      <w:numPr>
        <w:ilvl w:val="1"/>
        <w:numId w:val="14"/>
      </w:numPr>
      <w:spacing w:beforeLines="50" w:afterLines="50"/>
      <w:outlineLvl w:val="2"/>
    </w:pPr>
    <w:rPr>
      <w:rFonts w:ascii="黑体" w:eastAsia="黑体" w:hint="eastAsia"/>
      <w:kern w:val="21"/>
      <w:sz w:val="21"/>
      <w:szCs w:val="20"/>
    </w:rPr>
  </w:style>
  <w:style w:type="paragraph" w:customStyle="1" w:styleId="a">
    <w:name w:val="标准文件_附录表标题"/>
    <w:basedOn w:val="af2"/>
    <w:qFormat/>
    <w:pPr>
      <w:widowControl/>
      <w:numPr>
        <w:ilvl w:val="1"/>
        <w:numId w:val="15"/>
      </w:numPr>
      <w:adjustRightInd w:val="0"/>
      <w:snapToGrid w:val="0"/>
      <w:spacing w:beforeLines="50" w:afterLines="50"/>
      <w:jc w:val="center"/>
    </w:pPr>
    <w:rPr>
      <w:rFonts w:ascii="黑体" w:eastAsia="黑体" w:hint="eastAsia"/>
      <w:kern w:val="21"/>
      <w:sz w:val="21"/>
      <w:szCs w:val="20"/>
    </w:rPr>
  </w:style>
  <w:style w:type="paragraph" w:customStyle="1" w:styleId="a1">
    <w:name w:val="标准文件_注："/>
    <w:basedOn w:val="af2"/>
    <w:qFormat/>
    <w:pPr>
      <w:numPr>
        <w:numId w:val="16"/>
      </w:numPr>
      <w:autoSpaceDE w:val="0"/>
      <w:autoSpaceDN w:val="0"/>
    </w:pPr>
    <w:rPr>
      <w:rFonts w:ascii="宋体" w:eastAsia="宋体" w:hint="eastAsia"/>
      <w:kern w:val="0"/>
      <w:sz w:val="18"/>
      <w:szCs w:val="18"/>
    </w:rPr>
  </w:style>
  <w:style w:type="character" w:customStyle="1" w:styleId="font61">
    <w:name w:val="font61"/>
    <w:basedOn w:val="af3"/>
    <w:qFormat/>
    <w:rPr>
      <w:rFonts w:ascii="Segoe UI" w:hAnsi="Segoe UI" w:cs="Segoe UI" w:hint="default"/>
      <w:color w:val="000000"/>
      <w:sz w:val="22"/>
      <w:szCs w:val="22"/>
      <w:u w:val="none"/>
    </w:rPr>
  </w:style>
  <w:style w:type="character" w:customStyle="1" w:styleId="font71">
    <w:name w:val="font71"/>
    <w:basedOn w:val="af3"/>
    <w:qFormat/>
    <w:rPr>
      <w:rFonts w:ascii="宋体" w:eastAsia="宋体" w:hAnsi="宋体" w:hint="eastAsia"/>
      <w:color w:val="000000"/>
      <w:sz w:val="22"/>
      <w:szCs w:val="22"/>
      <w:u w:val="none"/>
    </w:rPr>
  </w:style>
  <w:style w:type="character" w:customStyle="1" w:styleId="font21">
    <w:name w:val="font21"/>
    <w:qFormat/>
    <w:rPr>
      <w:rFonts w:ascii="宋体" w:eastAsia="宋体" w:hAnsi="宋体" w:hint="eastAsia"/>
      <w:color w:val="000000"/>
      <w:sz w:val="54"/>
      <w:szCs w:val="54"/>
      <w:u w:val="non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qFormat="1"/>
    <w:lsdException w:name="header" w:semiHidden="0" w:unhideWhenUsed="0" w:qFormat="1"/>
    <w:lsdException w:name="footer" w:semiHidden="0" w:uiPriority="99" w:unhideWhenUsed="0" w:qFormat="1"/>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Default Paragraph Font" w:uiPriority="1"/>
    <w:lsdException w:name="Body Text" w:semiHidden="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Hyperlink" w:semiHidden="0" w:uiPriority="99" w:qFormat="1"/>
    <w:lsdException w:name="Strong" w:semiHidden="0" w:unhideWhenUsed="0" w:qFormat="1"/>
    <w:lsdException w:name="Emphasis" w:semiHidden="0" w:unhideWhenUsed="0" w:qFormat="1"/>
    <w:lsdException w:name="HTML Top of Form" w:uiPriority="99"/>
    <w:lsdException w:name="HTML Bottom of Form" w:uiPriority="99"/>
    <w:lsdException w:name="Normal (Web)" w:semiHidden="0" w:uiPriority="99" w:unhideWhenUsed="0" w:qFormat="1"/>
    <w:lsdException w:name="Normal Table" w:uiPriority="99"/>
    <w:lsdException w:name="No List" w:uiPriority="99"/>
    <w:lsdException w:name="Outline List 1" w:uiPriority="99"/>
    <w:lsdException w:name="Outline List 2" w:uiPriority="99"/>
    <w:lsdException w:name="Outline List 3" w:uiPriority="99"/>
    <w:lsdException w:name="Balloon Text" w:qFormat="1"/>
    <w:lsdException w:name="Table Grid" w:semiHidden="0" w:uiPriority="39" w:unhideWhenUsed="0" w:qFormat="1"/>
    <w:lsdException w:name="Placeholder Text" w:uiPriority="99"/>
    <w:lsdException w:name="No Spacing" w:uiPriority="9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lsdException w:name="List Paragraph" w:semiHidden="0" w:uiPriority="34" w:qFormat="1"/>
    <w:lsdException w:name="Quote" w:uiPriority="99"/>
    <w:lsdException w:name="Intense Quote" w:uiPriority="99"/>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2">
    <w:name w:val="Normal"/>
    <w:qFormat/>
    <w:pPr>
      <w:widowControl w:val="0"/>
      <w:ind w:firstLineChars="200" w:firstLine="880"/>
      <w:jc w:val="both"/>
    </w:pPr>
    <w:rPr>
      <w:rFonts w:eastAsia="仿宋_GB2312"/>
      <w:kern w:val="2"/>
      <w:sz w:val="32"/>
      <w:szCs w:val="24"/>
    </w:rPr>
  </w:style>
  <w:style w:type="character" w:default="1" w:styleId="af3">
    <w:name w:val="Default Paragraph Font"/>
    <w:uiPriority w:val="1"/>
    <w:semiHidden/>
    <w:unhideWhenUsed/>
  </w:style>
  <w:style w:type="table" w:default="1" w:styleId="af4">
    <w:name w:val="Normal Table"/>
    <w:uiPriority w:val="99"/>
    <w:semiHidden/>
    <w:unhideWhenUsed/>
    <w:tblPr>
      <w:tblInd w:w="0" w:type="dxa"/>
      <w:tblCellMar>
        <w:top w:w="0" w:type="dxa"/>
        <w:left w:w="108" w:type="dxa"/>
        <w:bottom w:w="0" w:type="dxa"/>
        <w:right w:w="108" w:type="dxa"/>
      </w:tblCellMar>
    </w:tblPr>
  </w:style>
  <w:style w:type="numbering" w:default="1" w:styleId="af5">
    <w:name w:val="No List"/>
    <w:uiPriority w:val="99"/>
    <w:semiHidden/>
    <w:unhideWhenUsed/>
  </w:style>
  <w:style w:type="paragraph" w:styleId="af6">
    <w:name w:val="annotation text"/>
    <w:basedOn w:val="af2"/>
    <w:semiHidden/>
    <w:unhideWhenUsed/>
    <w:qFormat/>
    <w:pPr>
      <w:jc w:val="left"/>
    </w:pPr>
  </w:style>
  <w:style w:type="paragraph" w:styleId="af7">
    <w:name w:val="Body Text"/>
    <w:basedOn w:val="af2"/>
    <w:unhideWhenUsed/>
    <w:qFormat/>
    <w:pPr>
      <w:spacing w:after="120"/>
    </w:pPr>
  </w:style>
  <w:style w:type="paragraph" w:styleId="af8">
    <w:name w:val="Balloon Text"/>
    <w:basedOn w:val="af2"/>
    <w:link w:val="Char"/>
    <w:semiHidden/>
    <w:unhideWhenUsed/>
    <w:qFormat/>
    <w:rPr>
      <w:sz w:val="18"/>
      <w:szCs w:val="18"/>
    </w:rPr>
  </w:style>
  <w:style w:type="paragraph" w:styleId="af9">
    <w:name w:val="footer"/>
    <w:basedOn w:val="af2"/>
    <w:link w:val="Char0"/>
    <w:uiPriority w:val="99"/>
    <w:qFormat/>
    <w:pPr>
      <w:tabs>
        <w:tab w:val="center" w:pos="4153"/>
        <w:tab w:val="right" w:pos="8306"/>
      </w:tabs>
      <w:snapToGrid w:val="0"/>
      <w:jc w:val="left"/>
    </w:pPr>
    <w:rPr>
      <w:sz w:val="18"/>
      <w:szCs w:val="18"/>
    </w:rPr>
  </w:style>
  <w:style w:type="paragraph" w:styleId="afa">
    <w:name w:val="header"/>
    <w:basedOn w:val="af2"/>
    <w:link w:val="Char1"/>
    <w:qFormat/>
    <w:pPr>
      <w:pBdr>
        <w:bottom w:val="single" w:sz="6" w:space="1" w:color="auto"/>
      </w:pBdr>
      <w:tabs>
        <w:tab w:val="center" w:pos="4153"/>
        <w:tab w:val="right" w:pos="8306"/>
      </w:tabs>
      <w:snapToGrid w:val="0"/>
      <w:jc w:val="center"/>
    </w:pPr>
    <w:rPr>
      <w:sz w:val="18"/>
      <w:szCs w:val="18"/>
    </w:rPr>
  </w:style>
  <w:style w:type="paragraph" w:styleId="afb">
    <w:name w:val="Normal (Web)"/>
    <w:basedOn w:val="af2"/>
    <w:uiPriority w:val="99"/>
    <w:qFormat/>
    <w:pPr>
      <w:spacing w:before="100" w:beforeAutospacing="1" w:after="100" w:afterAutospacing="1"/>
      <w:jc w:val="left"/>
    </w:pPr>
    <w:rPr>
      <w:kern w:val="0"/>
      <w:sz w:val="24"/>
    </w:rPr>
  </w:style>
  <w:style w:type="table" w:styleId="afc">
    <w:name w:val="Table Grid"/>
    <w:basedOn w:val="af4"/>
    <w:uiPriority w:val="39"/>
    <w:qFormat/>
    <w:rPr>
      <w:rFonts w:ascii="宋体"/>
      <w:sz w:val="18"/>
      <w:szCs w:val="18"/>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afd">
    <w:name w:val="Strong"/>
    <w:basedOn w:val="af3"/>
    <w:qFormat/>
    <w:rPr>
      <w:b/>
    </w:rPr>
  </w:style>
  <w:style w:type="character" w:styleId="afe">
    <w:name w:val="Hyperlink"/>
    <w:basedOn w:val="af3"/>
    <w:uiPriority w:val="99"/>
    <w:unhideWhenUsed/>
    <w:qFormat/>
    <w:rPr>
      <w:color w:val="0000FF"/>
      <w:u w:val="single"/>
    </w:rPr>
  </w:style>
  <w:style w:type="paragraph" w:customStyle="1" w:styleId="aff">
    <w:name w:val="段"/>
    <w:link w:val="Char2"/>
    <w:qFormat/>
    <w:pPr>
      <w:tabs>
        <w:tab w:val="center" w:pos="4201"/>
        <w:tab w:val="right" w:leader="dot" w:pos="9298"/>
      </w:tabs>
      <w:autoSpaceDE w:val="0"/>
      <w:autoSpaceDN w:val="0"/>
      <w:ind w:firstLineChars="200" w:firstLine="420"/>
      <w:jc w:val="both"/>
    </w:pPr>
    <w:rPr>
      <w:rFonts w:ascii="宋体"/>
      <w:sz w:val="21"/>
    </w:rPr>
  </w:style>
  <w:style w:type="paragraph" w:customStyle="1" w:styleId="aff0">
    <w:name w:val="正文表标题"/>
    <w:next w:val="aff"/>
    <w:qFormat/>
    <w:pPr>
      <w:spacing w:beforeLines="50" w:afterLines="50"/>
      <w:jc w:val="center"/>
    </w:pPr>
    <w:rPr>
      <w:rFonts w:ascii="黑体" w:eastAsia="黑体"/>
      <w:sz w:val="21"/>
    </w:rPr>
  </w:style>
  <w:style w:type="paragraph" w:customStyle="1" w:styleId="af">
    <w:name w:val="正文图标题"/>
    <w:next w:val="aff"/>
    <w:qFormat/>
    <w:pPr>
      <w:numPr>
        <w:numId w:val="1"/>
      </w:numPr>
      <w:tabs>
        <w:tab w:val="left" w:pos="360"/>
      </w:tabs>
      <w:spacing w:beforeLines="50" w:afterLines="50"/>
      <w:jc w:val="center"/>
    </w:pPr>
    <w:rPr>
      <w:rFonts w:ascii="黑体" w:eastAsia="黑体"/>
      <w:sz w:val="21"/>
    </w:rPr>
  </w:style>
  <w:style w:type="paragraph" w:customStyle="1" w:styleId="ac">
    <w:name w:val="其他发布日期"/>
    <w:basedOn w:val="af2"/>
    <w:qFormat/>
    <w:pPr>
      <w:framePr w:w="3997" w:h="471" w:hRule="exact" w:vSpace="181" w:wrap="around" w:vAnchor="page" w:hAnchor="page" w:x="1419" w:y="14097" w:anchorLock="1"/>
      <w:widowControl/>
      <w:numPr>
        <w:numId w:val="2"/>
      </w:numPr>
      <w:jc w:val="left"/>
    </w:pPr>
    <w:rPr>
      <w:rFonts w:eastAsia="黑体"/>
      <w:kern w:val="0"/>
      <w:sz w:val="28"/>
      <w:szCs w:val="20"/>
    </w:rPr>
  </w:style>
  <w:style w:type="paragraph" w:customStyle="1" w:styleId="aff1">
    <w:name w:val="一级条标题"/>
    <w:next w:val="aff"/>
    <w:qFormat/>
    <w:pPr>
      <w:spacing w:beforeLines="50" w:afterLines="50"/>
      <w:ind w:left="525"/>
      <w:outlineLvl w:val="2"/>
    </w:pPr>
    <w:rPr>
      <w:rFonts w:ascii="黑体" w:eastAsia="黑体"/>
      <w:sz w:val="21"/>
      <w:szCs w:val="21"/>
    </w:rPr>
  </w:style>
  <w:style w:type="paragraph" w:customStyle="1" w:styleId="a7">
    <w:name w:val="章标题"/>
    <w:next w:val="aff"/>
    <w:qFormat/>
    <w:pPr>
      <w:numPr>
        <w:numId w:val="3"/>
      </w:numPr>
      <w:spacing w:beforeLines="100" w:afterLines="100"/>
      <w:jc w:val="both"/>
      <w:outlineLvl w:val="1"/>
    </w:pPr>
    <w:rPr>
      <w:rFonts w:ascii="黑体" w:eastAsia="黑体"/>
      <w:sz w:val="21"/>
    </w:rPr>
  </w:style>
  <w:style w:type="paragraph" w:customStyle="1" w:styleId="aff2">
    <w:name w:val="二级条标题"/>
    <w:basedOn w:val="aff1"/>
    <w:next w:val="aff"/>
    <w:qFormat/>
    <w:pPr>
      <w:spacing w:before="50" w:after="50"/>
      <w:outlineLvl w:val="3"/>
    </w:pPr>
  </w:style>
  <w:style w:type="paragraph" w:customStyle="1" w:styleId="aff3">
    <w:name w:val="三级条标题"/>
    <w:basedOn w:val="aff2"/>
    <w:next w:val="aff"/>
    <w:qFormat/>
    <w:pPr>
      <w:outlineLvl w:val="4"/>
    </w:pPr>
  </w:style>
  <w:style w:type="paragraph" w:customStyle="1" w:styleId="aff4">
    <w:name w:val="四级条标题"/>
    <w:basedOn w:val="aff3"/>
    <w:next w:val="aff"/>
    <w:qFormat/>
    <w:pPr>
      <w:outlineLvl w:val="5"/>
    </w:pPr>
  </w:style>
  <w:style w:type="paragraph" w:customStyle="1" w:styleId="aff5">
    <w:name w:val="五级条标题"/>
    <w:basedOn w:val="aff4"/>
    <w:next w:val="aff"/>
    <w:qFormat/>
    <w:pPr>
      <w:outlineLvl w:val="6"/>
    </w:pPr>
  </w:style>
  <w:style w:type="paragraph" w:customStyle="1" w:styleId="a3">
    <w:name w:val="注："/>
    <w:next w:val="aff"/>
    <w:qFormat/>
    <w:pPr>
      <w:widowControl w:val="0"/>
      <w:numPr>
        <w:numId w:val="4"/>
      </w:numPr>
      <w:autoSpaceDE w:val="0"/>
      <w:autoSpaceDN w:val="0"/>
      <w:ind w:left="726" w:hanging="363"/>
      <w:jc w:val="both"/>
    </w:pPr>
    <w:rPr>
      <w:rFonts w:ascii="宋体"/>
      <w:sz w:val="18"/>
      <w:szCs w:val="18"/>
    </w:rPr>
  </w:style>
  <w:style w:type="paragraph" w:customStyle="1" w:styleId="a9">
    <w:name w:val="附录图标号"/>
    <w:basedOn w:val="af2"/>
    <w:qFormat/>
    <w:pPr>
      <w:keepNext/>
      <w:pageBreakBefore/>
      <w:widowControl/>
      <w:numPr>
        <w:numId w:val="5"/>
      </w:numPr>
      <w:spacing w:line="14" w:lineRule="exact"/>
      <w:ind w:left="0" w:firstLine="363"/>
      <w:jc w:val="center"/>
      <w:outlineLvl w:val="0"/>
    </w:pPr>
    <w:rPr>
      <w:color w:val="FFFFFF"/>
    </w:rPr>
  </w:style>
  <w:style w:type="paragraph" w:customStyle="1" w:styleId="aa">
    <w:name w:val="附录图标题"/>
    <w:basedOn w:val="af2"/>
    <w:next w:val="aff"/>
    <w:qFormat/>
    <w:pPr>
      <w:numPr>
        <w:ilvl w:val="1"/>
        <w:numId w:val="5"/>
      </w:numPr>
      <w:tabs>
        <w:tab w:val="left" w:pos="363"/>
      </w:tabs>
      <w:spacing w:beforeLines="50" w:afterLines="50"/>
      <w:ind w:left="0" w:firstLine="0"/>
      <w:jc w:val="center"/>
    </w:pPr>
    <w:rPr>
      <w:rFonts w:ascii="黑体" w:eastAsia="黑体"/>
      <w:szCs w:val="21"/>
    </w:rPr>
  </w:style>
  <w:style w:type="paragraph" w:customStyle="1" w:styleId="a6">
    <w:name w:val="注×：（正文）"/>
    <w:qFormat/>
    <w:pPr>
      <w:numPr>
        <w:numId w:val="6"/>
      </w:numPr>
      <w:jc w:val="both"/>
    </w:pPr>
    <w:rPr>
      <w:rFonts w:ascii="宋体"/>
      <w:sz w:val="18"/>
      <w:szCs w:val="18"/>
    </w:rPr>
  </w:style>
  <w:style w:type="paragraph" w:customStyle="1" w:styleId="a4">
    <w:name w:val="图表脚注说明"/>
    <w:basedOn w:val="af2"/>
    <w:qFormat/>
    <w:pPr>
      <w:numPr>
        <w:numId w:val="7"/>
      </w:numPr>
    </w:pPr>
    <w:rPr>
      <w:rFonts w:ascii="宋体"/>
      <w:sz w:val="18"/>
      <w:szCs w:val="18"/>
    </w:rPr>
  </w:style>
  <w:style w:type="character" w:customStyle="1" w:styleId="Char2">
    <w:name w:val="段 Char"/>
    <w:basedOn w:val="af3"/>
    <w:link w:val="aff"/>
    <w:qFormat/>
    <w:rPr>
      <w:rFonts w:ascii="宋体"/>
      <w:sz w:val="21"/>
      <w:lang w:val="en-US" w:eastAsia="zh-CN" w:bidi="ar-SA"/>
    </w:rPr>
  </w:style>
  <w:style w:type="character" w:customStyle="1" w:styleId="Char1">
    <w:name w:val="页眉 Char"/>
    <w:basedOn w:val="af3"/>
    <w:link w:val="afa"/>
    <w:qFormat/>
    <w:rPr>
      <w:kern w:val="2"/>
      <w:sz w:val="18"/>
      <w:szCs w:val="18"/>
    </w:rPr>
  </w:style>
  <w:style w:type="character" w:customStyle="1" w:styleId="Char0">
    <w:name w:val="页脚 Char"/>
    <w:basedOn w:val="af3"/>
    <w:link w:val="af9"/>
    <w:uiPriority w:val="99"/>
    <w:qFormat/>
    <w:rPr>
      <w:kern w:val="2"/>
      <w:sz w:val="18"/>
      <w:szCs w:val="18"/>
    </w:rPr>
  </w:style>
  <w:style w:type="paragraph" w:customStyle="1" w:styleId="ae">
    <w:name w:val="附录表标题"/>
    <w:basedOn w:val="af2"/>
    <w:next w:val="aff"/>
    <w:qFormat/>
    <w:pPr>
      <w:numPr>
        <w:ilvl w:val="1"/>
        <w:numId w:val="8"/>
      </w:numPr>
      <w:tabs>
        <w:tab w:val="left" w:pos="180"/>
      </w:tabs>
      <w:spacing w:beforeLines="50" w:afterLines="50"/>
      <w:ind w:left="0" w:firstLine="0"/>
      <w:jc w:val="center"/>
    </w:pPr>
    <w:rPr>
      <w:rFonts w:ascii="黑体" w:eastAsia="黑体"/>
      <w:szCs w:val="21"/>
    </w:rPr>
  </w:style>
  <w:style w:type="paragraph" w:styleId="aff6">
    <w:name w:val="List Paragraph"/>
    <w:basedOn w:val="af2"/>
    <w:uiPriority w:val="34"/>
    <w:unhideWhenUsed/>
    <w:qFormat/>
    <w:pPr>
      <w:ind w:firstLine="420"/>
    </w:pPr>
  </w:style>
  <w:style w:type="paragraph" w:customStyle="1" w:styleId="aff7">
    <w:name w:val="其他标准称谓"/>
    <w:qFormat/>
    <w:pPr>
      <w:spacing w:line="0" w:lineRule="atLeast"/>
      <w:jc w:val="distribute"/>
    </w:pPr>
    <w:rPr>
      <w:rFonts w:ascii="黑体" w:eastAsia="黑体" w:hAnsi="宋体"/>
      <w:sz w:val="52"/>
    </w:rPr>
  </w:style>
  <w:style w:type="paragraph" w:customStyle="1" w:styleId="1">
    <w:name w:val="封面标准号1"/>
    <w:qFormat/>
    <w:pPr>
      <w:widowControl w:val="0"/>
      <w:kinsoku w:val="0"/>
      <w:overflowPunct w:val="0"/>
      <w:autoSpaceDE w:val="0"/>
      <w:autoSpaceDN w:val="0"/>
      <w:spacing w:before="308"/>
      <w:jc w:val="right"/>
      <w:textAlignment w:val="center"/>
    </w:pPr>
    <w:rPr>
      <w:sz w:val="28"/>
    </w:rPr>
  </w:style>
  <w:style w:type="character" w:customStyle="1" w:styleId="aff8">
    <w:name w:val="发布"/>
    <w:qFormat/>
    <w:rPr>
      <w:rFonts w:ascii="黑体" w:eastAsia="黑体"/>
      <w:spacing w:val="22"/>
      <w:w w:val="100"/>
      <w:position w:val="3"/>
      <w:sz w:val="28"/>
    </w:rPr>
  </w:style>
  <w:style w:type="paragraph" w:customStyle="1" w:styleId="aff9">
    <w:name w:val="其他发布部门"/>
    <w:basedOn w:val="af2"/>
    <w:qFormat/>
    <w:pPr>
      <w:widowControl/>
      <w:spacing w:line="0" w:lineRule="atLeast"/>
      <w:jc w:val="center"/>
    </w:pPr>
    <w:rPr>
      <w:rFonts w:ascii="黑体" w:eastAsia="黑体"/>
      <w:spacing w:val="20"/>
      <w:w w:val="135"/>
      <w:kern w:val="0"/>
      <w:sz w:val="36"/>
      <w:szCs w:val="20"/>
    </w:rPr>
  </w:style>
  <w:style w:type="paragraph" w:customStyle="1" w:styleId="affa">
    <w:name w:val="标准文件_段"/>
    <w:qFormat/>
    <w:pPr>
      <w:autoSpaceDE w:val="0"/>
      <w:autoSpaceDN w:val="0"/>
      <w:ind w:firstLineChars="200" w:firstLine="200"/>
      <w:jc w:val="both"/>
    </w:pPr>
    <w:rPr>
      <w:rFonts w:ascii="宋体"/>
      <w:sz w:val="21"/>
    </w:rPr>
  </w:style>
  <w:style w:type="character" w:customStyle="1" w:styleId="Char">
    <w:name w:val="批注框文本 Char"/>
    <w:basedOn w:val="af3"/>
    <w:link w:val="af8"/>
    <w:semiHidden/>
    <w:qFormat/>
    <w:rPr>
      <w:rFonts w:ascii="Times New Roman" w:hAnsi="Times New Roman"/>
      <w:kern w:val="2"/>
      <w:sz w:val="18"/>
      <w:szCs w:val="18"/>
    </w:rPr>
  </w:style>
  <w:style w:type="paragraph" w:customStyle="1" w:styleId="BodyText2">
    <w:name w:val="BodyText2"/>
    <w:qFormat/>
    <w:pPr>
      <w:widowControl w:val="0"/>
      <w:spacing w:after="120" w:line="480" w:lineRule="auto"/>
      <w:jc w:val="both"/>
      <w:textAlignment w:val="baseline"/>
    </w:pPr>
    <w:rPr>
      <w:kern w:val="2"/>
      <w:sz w:val="32"/>
      <w:szCs w:val="32"/>
    </w:rPr>
  </w:style>
  <w:style w:type="paragraph" w:customStyle="1" w:styleId="a8">
    <w:name w:val="一级无"/>
    <w:basedOn w:val="aff1"/>
    <w:qFormat/>
    <w:pPr>
      <w:numPr>
        <w:ilvl w:val="1"/>
        <w:numId w:val="3"/>
      </w:numPr>
      <w:spacing w:beforeLines="0" w:afterLines="0"/>
    </w:pPr>
    <w:rPr>
      <w:rFonts w:ascii="宋体" w:eastAsia="宋体"/>
    </w:rPr>
  </w:style>
  <w:style w:type="paragraph" w:customStyle="1" w:styleId="a2">
    <w:name w:val="标准文件_一级无标题"/>
    <w:basedOn w:val="af1"/>
    <w:qFormat/>
    <w:pPr>
      <w:numPr>
        <w:numId w:val="9"/>
      </w:numPr>
    </w:pPr>
    <w:rPr>
      <w:rFonts w:ascii="宋体" w:hint="eastAsia"/>
    </w:rPr>
  </w:style>
  <w:style w:type="paragraph" w:customStyle="1" w:styleId="af1">
    <w:name w:val="标准文件_一级条标题"/>
    <w:basedOn w:val="af0"/>
    <w:next w:val="affa"/>
    <w:qFormat/>
    <w:pPr>
      <w:numPr>
        <w:ilvl w:val="2"/>
      </w:numPr>
      <w:spacing w:beforeLines="50" w:before="50" w:afterLines="50" w:after="50"/>
      <w:outlineLvl w:val="1"/>
    </w:pPr>
  </w:style>
  <w:style w:type="paragraph" w:customStyle="1" w:styleId="af0">
    <w:name w:val="标准文件_章标题"/>
    <w:next w:val="affa"/>
    <w:qFormat/>
    <w:pPr>
      <w:numPr>
        <w:ilvl w:val="1"/>
        <w:numId w:val="10"/>
      </w:numPr>
      <w:spacing w:beforeLines="100" w:before="100" w:afterLines="100" w:after="100"/>
      <w:jc w:val="both"/>
      <w:outlineLvl w:val="0"/>
    </w:pPr>
    <w:rPr>
      <w:rFonts w:ascii="黑体" w:eastAsia="黑体"/>
      <w:sz w:val="21"/>
    </w:rPr>
  </w:style>
  <w:style w:type="paragraph" w:customStyle="1" w:styleId="ab">
    <w:name w:val="标准文件_二级无标题"/>
    <w:qFormat/>
    <w:pPr>
      <w:widowControl w:val="0"/>
      <w:numPr>
        <w:ilvl w:val="3"/>
        <w:numId w:val="11"/>
      </w:numPr>
      <w:jc w:val="both"/>
    </w:pPr>
    <w:rPr>
      <w:rFonts w:ascii="宋体" w:hint="eastAsia"/>
      <w:sz w:val="21"/>
    </w:rPr>
  </w:style>
  <w:style w:type="paragraph" w:customStyle="1" w:styleId="ad">
    <w:name w:val="标准文件_一级项"/>
    <w:basedOn w:val="af2"/>
    <w:qFormat/>
    <w:pPr>
      <w:widowControl/>
      <w:numPr>
        <w:numId w:val="12"/>
      </w:numPr>
      <w:jc w:val="left"/>
    </w:pPr>
    <w:rPr>
      <w:rFonts w:ascii="宋体" w:eastAsia="宋体" w:hint="eastAsia"/>
      <w:kern w:val="0"/>
      <w:sz w:val="21"/>
      <w:szCs w:val="20"/>
    </w:rPr>
  </w:style>
  <w:style w:type="character" w:customStyle="1" w:styleId="Char3">
    <w:name w:val="标准文件_段 Char"/>
    <w:basedOn w:val="af3"/>
    <w:qFormat/>
    <w:rPr>
      <w:rFonts w:ascii="宋体" w:eastAsia="宋体" w:hAnsi="宋体" w:cs="宋体" w:hint="eastAsia"/>
      <w:sz w:val="21"/>
    </w:rPr>
  </w:style>
  <w:style w:type="paragraph" w:customStyle="1" w:styleId="a0">
    <w:name w:val="标准文件_二级条标题"/>
    <w:basedOn w:val="af2"/>
    <w:qFormat/>
    <w:pPr>
      <w:numPr>
        <w:ilvl w:val="3"/>
        <w:numId w:val="13"/>
      </w:numPr>
      <w:spacing w:beforeLines="50" w:afterLines="50"/>
      <w:outlineLvl w:val="2"/>
    </w:pPr>
    <w:rPr>
      <w:rFonts w:ascii="黑体" w:eastAsia="黑体" w:hint="eastAsia"/>
      <w:kern w:val="0"/>
      <w:sz w:val="21"/>
      <w:szCs w:val="20"/>
    </w:rPr>
  </w:style>
  <w:style w:type="paragraph" w:customStyle="1" w:styleId="a5">
    <w:name w:val="标准文件_附录一级条标题"/>
    <w:basedOn w:val="af2"/>
    <w:next w:val="af2"/>
    <w:qFormat/>
    <w:pPr>
      <w:numPr>
        <w:ilvl w:val="1"/>
        <w:numId w:val="14"/>
      </w:numPr>
      <w:spacing w:beforeLines="50" w:afterLines="50"/>
      <w:outlineLvl w:val="2"/>
    </w:pPr>
    <w:rPr>
      <w:rFonts w:ascii="黑体" w:eastAsia="黑体" w:hint="eastAsia"/>
      <w:kern w:val="21"/>
      <w:sz w:val="21"/>
      <w:szCs w:val="20"/>
    </w:rPr>
  </w:style>
  <w:style w:type="paragraph" w:customStyle="1" w:styleId="a">
    <w:name w:val="标准文件_附录表标题"/>
    <w:basedOn w:val="af2"/>
    <w:qFormat/>
    <w:pPr>
      <w:widowControl/>
      <w:numPr>
        <w:ilvl w:val="1"/>
        <w:numId w:val="15"/>
      </w:numPr>
      <w:adjustRightInd w:val="0"/>
      <w:snapToGrid w:val="0"/>
      <w:spacing w:beforeLines="50" w:afterLines="50"/>
      <w:jc w:val="center"/>
    </w:pPr>
    <w:rPr>
      <w:rFonts w:ascii="黑体" w:eastAsia="黑体" w:hint="eastAsia"/>
      <w:kern w:val="21"/>
      <w:sz w:val="21"/>
      <w:szCs w:val="20"/>
    </w:rPr>
  </w:style>
  <w:style w:type="paragraph" w:customStyle="1" w:styleId="a1">
    <w:name w:val="标准文件_注："/>
    <w:basedOn w:val="af2"/>
    <w:qFormat/>
    <w:pPr>
      <w:numPr>
        <w:numId w:val="16"/>
      </w:numPr>
      <w:autoSpaceDE w:val="0"/>
      <w:autoSpaceDN w:val="0"/>
    </w:pPr>
    <w:rPr>
      <w:rFonts w:ascii="宋体" w:eastAsia="宋体" w:hint="eastAsia"/>
      <w:kern w:val="0"/>
      <w:sz w:val="18"/>
      <w:szCs w:val="18"/>
    </w:rPr>
  </w:style>
  <w:style w:type="character" w:customStyle="1" w:styleId="font61">
    <w:name w:val="font61"/>
    <w:basedOn w:val="af3"/>
    <w:qFormat/>
    <w:rPr>
      <w:rFonts w:ascii="Segoe UI" w:hAnsi="Segoe UI" w:cs="Segoe UI" w:hint="default"/>
      <w:color w:val="000000"/>
      <w:sz w:val="22"/>
      <w:szCs w:val="22"/>
      <w:u w:val="none"/>
    </w:rPr>
  </w:style>
  <w:style w:type="character" w:customStyle="1" w:styleId="font71">
    <w:name w:val="font71"/>
    <w:basedOn w:val="af3"/>
    <w:qFormat/>
    <w:rPr>
      <w:rFonts w:ascii="宋体" w:eastAsia="宋体" w:hAnsi="宋体" w:hint="eastAsia"/>
      <w:color w:val="000000"/>
      <w:sz w:val="22"/>
      <w:szCs w:val="22"/>
      <w:u w:val="none"/>
    </w:rPr>
  </w:style>
  <w:style w:type="character" w:customStyle="1" w:styleId="font21">
    <w:name w:val="font21"/>
    <w:qFormat/>
    <w:rPr>
      <w:rFonts w:ascii="宋体" w:eastAsia="宋体" w:hAnsi="宋体" w:hint="eastAsia"/>
      <w:color w:val="000000"/>
      <w:sz w:val="54"/>
      <w:szCs w:val="54"/>
      <w:u w: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header" Target="header2.xml"/><Relationship Id="rId10" Type="http://schemas.openxmlformats.org/officeDocument/2006/relationships/image" Target="media/image2.jpeg"/><Relationship Id="rId19" Type="http://schemas.openxmlformats.org/officeDocument/2006/relationships/footer" Target="footer3.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27E4063-A3A9-4DAF-8321-BC1989FCC5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TotalTime>
  <Pages>25</Pages>
  <Words>2029</Words>
  <Characters>11569</Characters>
  <Application>Microsoft Office Word</Application>
  <DocSecurity>0</DocSecurity>
  <Lines>96</Lines>
  <Paragraphs>27</Paragraphs>
  <ScaleCrop>false</ScaleCrop>
  <Company>WWW.YlmF.CoM</Company>
  <LinksUpToDate>false</LinksUpToDate>
  <CharactersWithSpaces>13571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广西地方标准《脱氢枞酸》（征求意见稿）</dc:title>
  <dc:creator>USER</dc:creator>
  <cp:lastModifiedBy>PC</cp:lastModifiedBy>
  <cp:revision>15</cp:revision>
  <cp:lastPrinted>2025-01-15T04:51:00Z</cp:lastPrinted>
  <dcterms:created xsi:type="dcterms:W3CDTF">2026-03-26T10:21:00Z</dcterms:created>
  <dcterms:modified xsi:type="dcterms:W3CDTF">2026-03-31T09:03:00Z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6F64FE8A4315454BA16F5458281807A6_13</vt:lpwstr>
  </property>
  <property fmtid="{D5CDD505-2E9C-101B-9397-08002B2CF9AE}" pid="4" name="KSOTemplateDocerSaveRecord">
    <vt:lpwstr>eyJoZGlkIjoiNjkyMTI5YmM0YzdhN2UwZWQ0YzkxMTQ1ZWZjNWYyZDYiLCJ1c2VySWQiOiIzMTg4MTI4NjAifQ==</vt:lpwstr>
  </property>
</Properties>
</file>